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14bis</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2504245</w:t>
      </w:r>
      <w:bookmarkStart w:id="2" w:name="_GoBack"/>
      <w:bookmarkEnd w:id="2"/>
    </w:p>
    <w:p>
      <w:pPr>
        <w:pStyle w:val="16"/>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hint="eastAsia" w:eastAsia="宋体" w:cs="Arial"/>
          <w:b/>
          <w:sz w:val="24"/>
          <w:szCs w:val="24"/>
          <w:lang w:val="en-US" w:eastAsia="zh-CN"/>
        </w:rPr>
        <w:t>Wuhan, China, 7th – 11th April</w:t>
      </w:r>
      <w:r>
        <w:rPr>
          <w:rFonts w:ascii="Arial" w:hAnsi="Arial" w:eastAsia="宋体" w:cs="Arial"/>
          <w:b/>
          <w:sz w:val="24"/>
          <w:szCs w:val="24"/>
          <w:lang w:eastAsia="zh-CN"/>
        </w:rPr>
        <w:t>, 202</w:t>
      </w:r>
      <w:r>
        <w:rPr>
          <w:rFonts w:hint="eastAsia" w:eastAsia="宋体" w:cs="Arial"/>
          <w:b/>
          <w:sz w:val="24"/>
          <w:szCs w:val="24"/>
          <w:lang w:val="en-US" w:eastAsia="zh-CN"/>
        </w:rPr>
        <w:t>5</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6"/>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pPr>
        <w:pStyle w:val="16"/>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RRM performance of R19 ATG</w:t>
      </w:r>
    </w:p>
    <w:p>
      <w:pPr>
        <w:pStyle w:val="16"/>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7.12.5</w:t>
      </w:r>
    </w:p>
    <w:p>
      <w:pPr>
        <w:pStyle w:val="16"/>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12"/>
        <w:bidi w:val="0"/>
        <w:rPr>
          <w:rFonts w:hint="default" w:ascii="Arial" w:hAnsi="Arial" w:cs="Arial"/>
          <w:lang w:val="en-US" w:eastAsia="zh-CN"/>
        </w:rPr>
      </w:pPr>
      <w:r>
        <w:rPr>
          <w:rFonts w:hint="default" w:ascii="Arial" w:hAnsi="Arial" w:cs="Arial"/>
          <w:lang w:val="en-US" w:eastAsia="zh-CN"/>
        </w:rPr>
        <w:t xml:space="preserve">In </w:t>
      </w:r>
      <w:r>
        <w:rPr>
          <w:rFonts w:hint="eastAsia" w:cs="Arial"/>
          <w:lang w:val="en-US" w:eastAsia="zh-CN"/>
        </w:rPr>
        <w:t>RAN plenary 106 meeting</w:t>
      </w:r>
      <w:r>
        <w:rPr>
          <w:rFonts w:hint="default" w:ascii="Arial" w:hAnsi="Arial" w:cs="Arial"/>
          <w:lang w:val="en-US" w:eastAsia="zh-CN"/>
        </w:rPr>
        <w:t xml:space="preserve">, </w:t>
      </w:r>
      <w:r>
        <w:rPr>
          <w:rFonts w:hint="eastAsia" w:cs="Arial"/>
          <w:lang w:val="en-US" w:eastAsia="zh-CN"/>
        </w:rPr>
        <w:t xml:space="preserve">a revision WI of NR Rel-19 ATG led by RAN4 was approved in </w:t>
      </w:r>
      <w:r>
        <w:rPr>
          <w:rFonts w:hint="eastAsia" w:cs="Arial"/>
          <w:lang w:val="en-US" w:eastAsia="zh-CN"/>
        </w:rPr>
        <w:fldChar w:fldCharType="begin"/>
      </w:r>
      <w:r>
        <w:rPr>
          <w:rFonts w:hint="eastAsia" w:cs="Arial"/>
          <w:lang w:val="en-US" w:eastAsia="zh-CN"/>
        </w:rPr>
        <w:instrText xml:space="preserve"> REF _Ref158037842 \n \h </w:instrText>
      </w:r>
      <w:r>
        <w:rPr>
          <w:rFonts w:hint="eastAsia" w:cs="Arial"/>
          <w:lang w:val="en-US" w:eastAsia="zh-CN"/>
        </w:rPr>
        <w:fldChar w:fldCharType="separate"/>
      </w:r>
      <w:r>
        <w:rPr>
          <w:rFonts w:hint="eastAsia" w:cs="Arial"/>
          <w:lang w:val="en-US" w:eastAsia="zh-CN"/>
        </w:rPr>
        <w:t>[1]</w:t>
      </w:r>
      <w:r>
        <w:rPr>
          <w:rFonts w:hint="eastAsia" w:cs="Arial"/>
          <w:lang w:val="en-US" w:eastAsia="zh-CN"/>
        </w:rPr>
        <w:fldChar w:fldCharType="end"/>
      </w:r>
      <w:r>
        <w:rPr>
          <w:rFonts w:hint="eastAsia" w:cs="Arial"/>
          <w:lang w:val="en-US" w:eastAsia="zh-CN"/>
        </w:rPr>
        <w:t>. We summarize the objectives of the WI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4"/>
              <w:pageBreakBefore w:val="0"/>
              <w:kinsoku/>
              <w:wordWrap/>
              <w:topLinePunct w:val="0"/>
              <w:bidi w:val="0"/>
              <w:snapToGrid/>
              <w:spacing w:before="0" w:after="0" w:line="240" w:lineRule="auto"/>
              <w:rPr>
                <w:color w:val="0000FF"/>
              </w:rPr>
            </w:pPr>
            <w:r>
              <w:rPr>
                <w:color w:val="0000FF"/>
              </w:rPr>
              <w:t>4.1</w:t>
            </w:r>
            <w:r>
              <w:rPr>
                <w:color w:val="0000FF"/>
              </w:rPr>
              <w:tab/>
            </w:r>
            <w:r>
              <w:rPr>
                <w:color w:val="0000FF"/>
              </w:rPr>
              <w:t>Objective of SI or Core part WI or Testing part WI</w:t>
            </w:r>
          </w:p>
          <w:p>
            <w:pPr>
              <w:pageBreakBefore w:val="0"/>
              <w:kinsoku/>
              <w:wordWrap/>
              <w:topLinePunct w:val="0"/>
              <w:bidi w:val="0"/>
              <w:snapToGrid/>
              <w:spacing w:line="240" w:lineRule="auto"/>
              <w:rPr>
                <w:rFonts w:hint="eastAsia"/>
                <w:lang w:eastAsia="zh-CN"/>
              </w:rPr>
            </w:pPr>
            <w:r>
              <w:rPr>
                <w:rFonts w:hint="eastAsia"/>
                <w:lang w:eastAsia="zh-CN"/>
              </w:rPr>
              <w:t>T</w:t>
            </w:r>
            <w:r>
              <w:rPr>
                <w:lang w:eastAsia="zh-CN"/>
              </w:rPr>
              <w:t>he core part of the work item includes:</w:t>
            </w:r>
          </w:p>
          <w:p>
            <w:pPr>
              <w:pStyle w:val="30"/>
              <w:pageBreakBefore w:val="0"/>
              <w:numPr>
                <w:ilvl w:val="0"/>
                <w:numId w:val="6"/>
              </w:numPr>
              <w:kinsoku/>
              <w:wordWrap/>
              <w:topLinePunct w:val="0"/>
              <w:bidi w:val="0"/>
              <w:snapToGrid/>
              <w:spacing w:line="240" w:lineRule="auto"/>
              <w:rPr>
                <w:rFonts w:eastAsia="等线"/>
                <w:lang w:eastAsia="zh-CN"/>
              </w:rPr>
            </w:pPr>
            <w:r>
              <w:rPr>
                <w:rFonts w:eastAsia="等线"/>
                <w:lang w:eastAsia="zh-CN"/>
              </w:rPr>
              <w:t>Specify the RF and RRM core requirements for intra-band co-located and inter-band co-located DL CA</w:t>
            </w:r>
            <w:r>
              <w:rPr>
                <w:rFonts w:hint="eastAsia" w:eastAsia="等线"/>
                <w:lang w:eastAsia="zh-CN"/>
              </w:rPr>
              <w:t xml:space="preserve"> [RAN4]</w:t>
            </w:r>
            <w:r>
              <w:rPr>
                <w:rFonts w:eastAsia="等线"/>
                <w:lang w:eastAsia="zh-CN"/>
              </w:rPr>
              <w:t>:</w:t>
            </w:r>
          </w:p>
          <w:p>
            <w:pPr>
              <w:pStyle w:val="30"/>
              <w:pageBreakBefore w:val="0"/>
              <w:numPr>
                <w:ilvl w:val="1"/>
                <w:numId w:val="6"/>
              </w:numPr>
              <w:kinsoku/>
              <w:wordWrap/>
              <w:overflowPunct w:val="0"/>
              <w:topLinePunct w:val="0"/>
              <w:autoSpaceDE w:val="0"/>
              <w:autoSpaceDN w:val="0"/>
              <w:bidi w:val="0"/>
              <w:adjustRightInd w:val="0"/>
              <w:snapToGrid/>
              <w:spacing w:line="240" w:lineRule="auto"/>
              <w:textAlignment w:val="baseline"/>
              <w:rPr>
                <w:rFonts w:eastAsia="等线"/>
                <w:lang w:eastAsia="zh-CN"/>
              </w:rPr>
            </w:pPr>
            <w:r>
              <w:rPr>
                <w:rFonts w:eastAsia="等线"/>
                <w:lang w:eastAsia="zh-CN"/>
              </w:rPr>
              <w:t>FR1 intra-band contiguous CA</w:t>
            </w:r>
          </w:p>
          <w:p>
            <w:pPr>
              <w:pStyle w:val="30"/>
              <w:pageBreakBefore w:val="0"/>
              <w:numPr>
                <w:ilvl w:val="2"/>
                <w:numId w:val="6"/>
              </w:numPr>
              <w:kinsoku/>
              <w:wordWrap/>
              <w:overflowPunct w:val="0"/>
              <w:topLinePunct w:val="0"/>
              <w:autoSpaceDE w:val="0"/>
              <w:autoSpaceDN w:val="0"/>
              <w:bidi w:val="0"/>
              <w:adjustRightInd w:val="0"/>
              <w:snapToGrid/>
              <w:spacing w:line="240" w:lineRule="auto"/>
              <w:textAlignment w:val="baseline"/>
              <w:rPr>
                <w:rFonts w:eastAsia="等线"/>
                <w:lang w:eastAsia="zh-CN"/>
              </w:rPr>
            </w:pPr>
            <w:r>
              <w:rPr>
                <w:rFonts w:hint="eastAsia" w:eastAsia="等线"/>
                <w:lang w:eastAsia="zh-CN"/>
              </w:rPr>
              <w:t>Example band combination: CA_n79C</w:t>
            </w:r>
          </w:p>
          <w:p>
            <w:pPr>
              <w:pStyle w:val="30"/>
              <w:pageBreakBefore w:val="0"/>
              <w:numPr>
                <w:ilvl w:val="1"/>
                <w:numId w:val="6"/>
              </w:numPr>
              <w:kinsoku/>
              <w:wordWrap/>
              <w:overflowPunct w:val="0"/>
              <w:topLinePunct w:val="0"/>
              <w:autoSpaceDE w:val="0"/>
              <w:autoSpaceDN w:val="0"/>
              <w:bidi w:val="0"/>
              <w:adjustRightInd w:val="0"/>
              <w:snapToGrid/>
              <w:spacing w:line="240" w:lineRule="auto"/>
              <w:textAlignment w:val="baseline"/>
              <w:rPr>
                <w:rFonts w:eastAsia="等线"/>
                <w:lang w:eastAsia="zh-CN"/>
              </w:rPr>
            </w:pPr>
            <w:r>
              <w:rPr>
                <w:rFonts w:eastAsia="等线"/>
                <w:lang w:eastAsia="zh-CN"/>
              </w:rPr>
              <w:t>FR1+FR1 inter-band CA</w:t>
            </w:r>
          </w:p>
          <w:p>
            <w:pPr>
              <w:pStyle w:val="30"/>
              <w:pageBreakBefore w:val="0"/>
              <w:numPr>
                <w:ilvl w:val="2"/>
                <w:numId w:val="6"/>
              </w:numPr>
              <w:kinsoku/>
              <w:wordWrap/>
              <w:overflowPunct w:val="0"/>
              <w:topLinePunct w:val="0"/>
              <w:autoSpaceDE w:val="0"/>
              <w:autoSpaceDN w:val="0"/>
              <w:bidi w:val="0"/>
              <w:adjustRightInd w:val="0"/>
              <w:snapToGrid/>
              <w:spacing w:line="240" w:lineRule="auto"/>
              <w:textAlignment w:val="baseline"/>
              <w:rPr>
                <w:rFonts w:eastAsia="等线"/>
                <w:lang w:eastAsia="zh-CN"/>
              </w:rPr>
            </w:pPr>
            <w:r>
              <w:rPr>
                <w:rFonts w:hint="eastAsia" w:eastAsia="等线"/>
                <w:lang w:eastAsia="zh-CN"/>
              </w:rPr>
              <w:t>Example band combination: CA_n3A-n39A</w:t>
            </w:r>
          </w:p>
          <w:p>
            <w:pPr>
              <w:pStyle w:val="30"/>
              <w:pageBreakBefore w:val="0"/>
              <w:numPr>
                <w:ilvl w:val="0"/>
                <w:numId w:val="6"/>
              </w:numPr>
              <w:kinsoku/>
              <w:wordWrap/>
              <w:topLinePunct w:val="0"/>
              <w:bidi w:val="0"/>
              <w:snapToGrid/>
              <w:spacing w:line="240" w:lineRule="auto"/>
              <w:rPr>
                <w:rFonts w:eastAsia="Batang"/>
                <w:lang w:eastAsia="en-US"/>
              </w:rPr>
            </w:pPr>
            <w:r>
              <w:rPr>
                <w:rFonts w:eastAsia="等线"/>
                <w:lang w:eastAsia="zh-CN"/>
              </w:rPr>
              <w:t>Specify the RF requirements for support of UL MIMO with 2TX for single CC for UE.</w:t>
            </w:r>
            <w:r>
              <w:rPr>
                <w:rFonts w:hint="eastAsia" w:eastAsia="等线"/>
                <w:lang w:eastAsia="zh-CN"/>
              </w:rPr>
              <w:t xml:space="preserve"> [RAN4]</w:t>
            </w:r>
          </w:p>
          <w:p>
            <w:pPr>
              <w:pStyle w:val="30"/>
              <w:pageBreakBefore w:val="0"/>
              <w:numPr>
                <w:ilvl w:val="0"/>
                <w:numId w:val="6"/>
              </w:numPr>
              <w:kinsoku/>
              <w:wordWrap/>
              <w:topLinePunct w:val="0"/>
              <w:bidi w:val="0"/>
              <w:snapToGrid/>
              <w:spacing w:line="240" w:lineRule="auto"/>
            </w:pPr>
            <w:r>
              <w:rPr>
                <w:highlight w:val="none"/>
              </w:rPr>
              <w:t xml:space="preserve">Specify the </w:t>
            </w:r>
            <w:r>
              <w:rPr>
                <w:rFonts w:hint="eastAsia" w:eastAsia="等线"/>
                <w:highlight w:val="none"/>
                <w:lang w:eastAsia="zh-CN"/>
              </w:rPr>
              <w:t xml:space="preserve">TAE </w:t>
            </w:r>
            <w:r>
              <w:rPr>
                <w:highlight w:val="none"/>
              </w:rPr>
              <w:t xml:space="preserve">requirements for support of DL MIMO for BS. </w:t>
            </w:r>
            <w:r>
              <w:t>[RAN4]</w:t>
            </w:r>
            <w:r>
              <w:rPr>
                <w:rFonts w:hint="eastAsia" w:eastAsia="等线"/>
                <w:lang w:eastAsia="zh-CN"/>
              </w:rPr>
              <w:t>.</w:t>
            </w:r>
          </w:p>
          <w:p>
            <w:pPr>
              <w:pStyle w:val="30"/>
              <w:pageBreakBefore w:val="0"/>
              <w:numPr>
                <w:ilvl w:val="0"/>
                <w:numId w:val="6"/>
              </w:numPr>
              <w:kinsoku/>
              <w:wordWrap/>
              <w:topLinePunct w:val="0"/>
              <w:bidi w:val="0"/>
              <w:snapToGrid/>
              <w:spacing w:line="240" w:lineRule="auto"/>
              <w:rPr>
                <w:rFonts w:eastAsia="等线"/>
                <w:lang w:eastAsia="zh-CN"/>
              </w:rPr>
            </w:pPr>
            <w:r>
              <w:rPr>
                <w:rFonts w:hint="eastAsia" w:eastAsia="等线"/>
                <w:lang w:eastAsia="zh-CN"/>
              </w:rPr>
              <w:t>Specify signaling and UE capabilities if necessary [RAN2].</w:t>
            </w:r>
          </w:p>
          <w:p>
            <w:pPr>
              <w:pStyle w:val="4"/>
              <w:pageBreakBefore w:val="0"/>
              <w:kinsoku/>
              <w:wordWrap/>
              <w:topLinePunct w:val="0"/>
              <w:bidi w:val="0"/>
              <w:snapToGrid/>
              <w:spacing w:before="0" w:after="0" w:line="240" w:lineRule="auto"/>
              <w:rPr>
                <w:color w:val="0000FF"/>
              </w:rPr>
            </w:pPr>
            <w:r>
              <w:rPr>
                <w:color w:val="0000FF"/>
              </w:rPr>
              <w:t>4.2</w:t>
            </w:r>
            <w:r>
              <w:rPr>
                <w:color w:val="0000FF"/>
              </w:rPr>
              <w:tab/>
            </w:r>
            <w:r>
              <w:rPr>
                <w:color w:val="0000FF"/>
              </w:rPr>
              <w:t>Objective of Performance part WI</w:t>
            </w:r>
          </w:p>
          <w:p>
            <w:pPr>
              <w:pStyle w:val="53"/>
              <w:pageBreakBefore w:val="0"/>
              <w:kinsoku/>
              <w:wordWrap/>
              <w:topLinePunct w:val="0"/>
              <w:bidi w:val="0"/>
              <w:snapToGrid/>
              <w:spacing w:after="0" w:line="240" w:lineRule="auto"/>
              <w:rPr>
                <w:color w:val="0000FF"/>
              </w:rPr>
            </w:pPr>
            <w:r>
              <w:rPr>
                <w:color w:val="0000FF"/>
              </w:rPr>
              <w:t>NOTE:</w:t>
            </w:r>
            <w:r>
              <w:rPr>
                <w:color w:val="0000FF"/>
              </w:rPr>
              <w:tab/>
            </w:r>
            <w:r>
              <w:rPr>
                <w:color w:val="0000FF"/>
              </w:rPr>
              <w:t>Leave empty if the WI proposal does not contain a RAN performance part.</w:t>
            </w:r>
          </w:p>
          <w:p>
            <w:pPr>
              <w:pageBreakBefore w:val="0"/>
              <w:kinsoku/>
              <w:wordWrap/>
              <w:topLinePunct w:val="0"/>
              <w:bidi w:val="0"/>
              <w:snapToGrid/>
              <w:spacing w:line="240" w:lineRule="auto"/>
              <w:rPr>
                <w:rFonts w:hint="eastAsia"/>
                <w:lang w:eastAsia="zh-CN"/>
              </w:rPr>
            </w:pPr>
            <w:r>
              <w:rPr>
                <w:rFonts w:hint="eastAsia"/>
                <w:lang w:eastAsia="zh-CN"/>
              </w:rPr>
              <w:t>T</w:t>
            </w:r>
            <w:r>
              <w:rPr>
                <w:lang w:eastAsia="zh-CN"/>
              </w:rPr>
              <w:t>he performance part of the work item includes:</w:t>
            </w:r>
          </w:p>
          <w:p>
            <w:pPr>
              <w:pStyle w:val="30"/>
              <w:pageBreakBefore w:val="0"/>
              <w:numPr>
                <w:ilvl w:val="0"/>
                <w:numId w:val="6"/>
              </w:numPr>
              <w:kinsoku/>
              <w:wordWrap/>
              <w:topLinePunct w:val="0"/>
              <w:bidi w:val="0"/>
              <w:snapToGrid/>
              <w:spacing w:line="240" w:lineRule="auto"/>
              <w:rPr>
                <w:rFonts w:eastAsia="等线"/>
                <w:lang w:eastAsia="zh-CN"/>
              </w:rPr>
            </w:pPr>
            <w:r>
              <w:rPr>
                <w:rFonts w:eastAsia="等线"/>
                <w:lang w:eastAsia="zh-CN"/>
              </w:rPr>
              <w:t>Specify corresponding RRM performance and demodulation requirements for intra-band co-located and inter-band co-located DL CA.</w:t>
            </w:r>
          </w:p>
          <w:p>
            <w:pPr>
              <w:pStyle w:val="30"/>
              <w:pageBreakBefore w:val="0"/>
              <w:numPr>
                <w:ilvl w:val="0"/>
                <w:numId w:val="6"/>
              </w:numPr>
              <w:kinsoku/>
              <w:wordWrap/>
              <w:topLinePunct w:val="0"/>
              <w:bidi w:val="0"/>
              <w:snapToGrid/>
              <w:spacing w:line="240" w:lineRule="auto"/>
              <w:rPr>
                <w:rFonts w:eastAsia="等线"/>
                <w:lang w:eastAsia="zh-CN"/>
              </w:rPr>
            </w:pPr>
            <w:r>
              <w:rPr>
                <w:rFonts w:eastAsia="等线"/>
                <w:lang w:eastAsia="zh-CN"/>
              </w:rPr>
              <w:t>Specify corresponding demodulation requirements for support of UL MIMO with 2TX for single CC for UE with dual-polarization antenna.</w:t>
            </w:r>
          </w:p>
          <w:p>
            <w:pPr>
              <w:pStyle w:val="30"/>
              <w:pageBreakBefore w:val="0"/>
              <w:numPr>
                <w:ilvl w:val="0"/>
                <w:numId w:val="6"/>
              </w:numPr>
              <w:kinsoku/>
              <w:wordWrap/>
              <w:topLinePunct w:val="0"/>
              <w:bidi w:val="0"/>
              <w:snapToGrid/>
              <w:spacing w:line="240" w:lineRule="auto"/>
              <w:rPr>
                <w:rFonts w:eastAsia="等线"/>
                <w:highlight w:val="none"/>
                <w:lang w:eastAsia="zh-CN"/>
              </w:rPr>
            </w:pPr>
            <w:r>
              <w:rPr>
                <w:rFonts w:eastAsia="等线"/>
                <w:highlight w:val="none"/>
                <w:lang w:eastAsia="zh-CN"/>
              </w:rPr>
              <w:t>Specify demodulation requirements for support of DL MIMO for UE</w:t>
            </w:r>
            <w:r>
              <w:rPr>
                <w:rFonts w:hint="eastAsia" w:eastAsia="等线"/>
                <w:highlight w:val="none"/>
                <w:lang w:eastAsia="zh-CN"/>
              </w:rPr>
              <w:t xml:space="preserve"> with limited test cases</w:t>
            </w:r>
            <w:r>
              <w:rPr>
                <w:rFonts w:eastAsia="等线"/>
                <w:highlight w:val="none"/>
                <w:lang w:eastAsia="zh-CN"/>
              </w:rPr>
              <w:t>.</w:t>
            </w:r>
          </w:p>
          <w:p>
            <w:pPr>
              <w:pStyle w:val="30"/>
              <w:pageBreakBefore w:val="0"/>
              <w:numPr>
                <w:ilvl w:val="0"/>
                <w:numId w:val="6"/>
              </w:numPr>
              <w:kinsoku/>
              <w:wordWrap/>
              <w:topLinePunct w:val="0"/>
              <w:bidi w:val="0"/>
              <w:snapToGrid/>
              <w:spacing w:line="240" w:lineRule="auto"/>
              <w:rPr>
                <w:rFonts w:hint="eastAsia" w:ascii="Arial" w:hAnsi="Arial" w:cs="Arial"/>
                <w:sz w:val="20"/>
                <w:szCs w:val="20"/>
                <w:u w:val="none"/>
                <w:lang w:val="en-US" w:eastAsia="zh-CN"/>
              </w:rPr>
            </w:pPr>
            <w:bookmarkStart w:id="0" w:name="_Hlk183524706"/>
            <w:r>
              <w:rPr>
                <w:rFonts w:eastAsia="等线"/>
                <w:lang w:eastAsia="zh-CN"/>
              </w:rPr>
              <w:t>Specify conformance testing and conformance requirements for BS.</w:t>
            </w:r>
            <w:bookmarkEnd w:id="0"/>
          </w:p>
        </w:tc>
      </w:tr>
    </w:tbl>
    <w:p>
      <w:pPr>
        <w:pStyle w:val="12"/>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cs="Arial"/>
          <w:lang w:val="en-US" w:eastAsia="zh-CN"/>
        </w:rPr>
        <w:t xml:space="preserve">RAN4 had achieved good progress on the core part of R19 ATG. From this meeting, the performance part of ATG is to be kicked off in this meeting. </w:t>
      </w:r>
      <w:r>
        <w:rPr>
          <w:rFonts w:hint="eastAsia"/>
          <w:lang w:val="en-US" w:eastAsia="zh-CN"/>
        </w:rPr>
        <w:t>In this paper, we provide our further analysis on remaining RRM aspects of R19 ATG.</w:t>
      </w:r>
    </w:p>
    <w:p>
      <w:pPr>
        <w:pStyle w:val="2"/>
        <w:keepNext w:val="0"/>
        <w:keepLines w:val="0"/>
        <w:pageBreakBefore w:val="0"/>
        <w:widowControl w:val="0"/>
        <w:numPr>
          <w:ilvl w:val="0"/>
          <w:numId w:val="5"/>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pStyle w:val="12"/>
        <w:numPr>
          <w:ilvl w:val="0"/>
          <w:numId w:val="0"/>
        </w:numPr>
        <w:bidi w:val="0"/>
        <w:ind w:leftChars="0"/>
        <w:rPr>
          <w:rFonts w:hint="default"/>
          <w:lang w:val="en-US" w:eastAsia="zh-CN"/>
        </w:rPr>
      </w:pPr>
      <w:r>
        <w:rPr>
          <w:rFonts w:hint="eastAsia"/>
          <w:lang w:val="en-US" w:eastAsia="zh-CN"/>
        </w:rPr>
        <w:t>The discussion of R18 single carrier ATG performance part and the final test case design could provide meaningful reference for R19 ATG.</w:t>
      </w:r>
    </w:p>
    <w:p>
      <w:pPr>
        <w:pStyle w:val="3"/>
        <w:numPr>
          <w:ilvl w:val="0"/>
          <w:numId w:val="0"/>
        </w:numPr>
        <w:bidi w:val="0"/>
        <w:ind w:leftChars="0"/>
        <w:rPr>
          <w:rFonts w:hint="eastAsia"/>
          <w:lang w:val="en-US" w:eastAsia="zh-CN"/>
        </w:rPr>
      </w:pPr>
      <w:r>
        <w:rPr>
          <w:rFonts w:hint="eastAsia"/>
          <w:lang w:val="en-US" w:eastAsia="zh-CN"/>
        </w:rPr>
        <w:t>2.1 General</w:t>
      </w:r>
    </w:p>
    <w:p>
      <w:pPr>
        <w:pStyle w:val="12"/>
        <w:numPr>
          <w:ilvl w:val="0"/>
          <w:numId w:val="0"/>
        </w:numPr>
        <w:bidi w:val="0"/>
        <w:ind w:leftChars="0"/>
        <w:rPr>
          <w:rFonts w:hint="default"/>
          <w:u w:val="single"/>
          <w:lang w:val="en-US" w:eastAsia="zh-CN"/>
        </w:rPr>
      </w:pPr>
      <w:r>
        <w:rPr>
          <w:rFonts w:hint="eastAsia"/>
          <w:u w:val="single"/>
          <w:lang w:val="en-US" w:eastAsia="zh-CN"/>
        </w:rPr>
        <w:t>General principle</w:t>
      </w:r>
    </w:p>
    <w:p>
      <w:pPr>
        <w:pStyle w:val="12"/>
        <w:numPr>
          <w:ilvl w:val="0"/>
          <w:numId w:val="0"/>
        </w:numPr>
        <w:bidi w:val="0"/>
        <w:ind w:leftChars="0"/>
        <w:rPr>
          <w:rFonts w:hint="eastAsia"/>
          <w:lang w:val="en-US" w:eastAsia="zh-CN"/>
        </w:rPr>
      </w:pPr>
      <w:r>
        <w:rPr>
          <w:rFonts w:hint="eastAsia"/>
          <w:lang w:val="en-US" w:eastAsia="zh-CN"/>
        </w:rPr>
        <w:t>One general principle from our side is that RAN4 does not need to repeat the R18 ATG performance verification, and only focus on the verification of new functions or features introduced in R19 ATG, i.e. mainly the DL CA relevant features and antenna array relevant features.</w:t>
      </w:r>
    </w:p>
    <w:p>
      <w:pPr>
        <w:pStyle w:val="12"/>
        <w:numPr>
          <w:ilvl w:val="0"/>
          <w:numId w:val="0"/>
        </w:numPr>
        <w:bidi w:val="0"/>
        <w:ind w:leftChars="0"/>
        <w:rPr>
          <w:rFonts w:hint="eastAsia"/>
          <w:b/>
          <w:bCs/>
          <w:lang w:val="en-US" w:eastAsia="zh-CN"/>
        </w:rPr>
      </w:pPr>
      <w:r>
        <w:rPr>
          <w:rFonts w:hint="eastAsia"/>
          <w:b/>
          <w:bCs/>
          <w:lang w:val="en-US" w:eastAsia="zh-CN"/>
        </w:rPr>
        <w:t>Proposal 1: The performance verification should focus on the new functionalities introduced for R19 ATG that were not defined in R18 single carrier ATG, i.e. mainly the DL CA relevant features and antenna array relevant features.</w:t>
      </w:r>
    </w:p>
    <w:p>
      <w:pPr>
        <w:pStyle w:val="12"/>
        <w:numPr>
          <w:ilvl w:val="0"/>
          <w:numId w:val="0"/>
        </w:numPr>
        <w:bidi w:val="0"/>
        <w:ind w:leftChars="0"/>
        <w:rPr>
          <w:rFonts w:hint="default"/>
          <w:b/>
          <w:bCs/>
          <w:lang w:val="en-US" w:eastAsia="zh-CN"/>
        </w:rPr>
      </w:pPr>
      <w:r>
        <w:rPr>
          <w:rFonts w:hint="eastAsia"/>
          <w:u w:val="single"/>
          <w:lang w:val="en-US" w:eastAsia="zh-CN"/>
        </w:rPr>
        <w:t>Test configuration</w:t>
      </w:r>
    </w:p>
    <w:p>
      <w:pPr>
        <w:pStyle w:val="12"/>
        <w:numPr>
          <w:ilvl w:val="0"/>
          <w:numId w:val="0"/>
        </w:numPr>
        <w:bidi w:val="0"/>
        <w:ind w:leftChars="0"/>
        <w:rPr>
          <w:rFonts w:hint="default"/>
          <w:lang w:val="en-US" w:eastAsia="zh-CN"/>
        </w:rPr>
      </w:pPr>
      <w:r>
        <w:rPr>
          <w:rFonts w:hint="eastAsia"/>
          <w:lang w:val="en-US" w:eastAsia="zh-CN"/>
        </w:rPr>
        <w:t>Regarding the test configuration, besides the intra-band CA and/or inter-band CA configuration, actually all test configuration defined in R18 ATG could be reused, such as general test configuration, TDD pattern, RMC, OCNG, channel model, BS location, number of neighbour cells for test of antenna array.</w:t>
      </w:r>
    </w:p>
    <w:p>
      <w:pPr>
        <w:rPr>
          <w:rFonts w:hint="eastAsia"/>
          <w:b/>
          <w:bCs/>
          <w:lang w:val="en-US" w:eastAsia="zh-CN"/>
        </w:rPr>
      </w:pPr>
      <w:r>
        <w:rPr>
          <w:rFonts w:hint="eastAsia"/>
          <w:b/>
          <w:bCs/>
          <w:lang w:val="en-US" w:eastAsia="zh-CN"/>
        </w:rPr>
        <w:t>Proposal 2: Reuse the general test configuration defined in R18 ATG, and the intra-band CA and/or inter-band CA relevant configuration is additional considered.</w:t>
      </w:r>
    </w:p>
    <w:p>
      <w:pPr>
        <w:keepNext w:val="0"/>
        <w:keepLines w:val="0"/>
        <w:pageBreakBefore w:val="0"/>
        <w:widowControl/>
        <w:numPr>
          <w:ilvl w:val="0"/>
          <w:numId w:val="7"/>
        </w:numPr>
        <w:kinsoku/>
        <w:wordWrap/>
        <w:overflowPunct/>
        <w:topLinePunct w:val="0"/>
        <w:autoSpaceDE/>
        <w:autoSpaceDN/>
        <w:bidi w:val="0"/>
        <w:adjustRightInd/>
        <w:snapToGrid/>
        <w:spacing w:after="157" w:afterLines="50"/>
        <w:ind w:left="420" w:leftChars="0" w:hanging="420" w:firstLineChars="0"/>
        <w:textAlignment w:val="auto"/>
        <w:rPr>
          <w:rFonts w:hint="default"/>
          <w:b/>
          <w:bCs/>
          <w:lang w:val="en-US" w:eastAsia="zh-CN"/>
        </w:rPr>
      </w:pPr>
      <w:r>
        <w:rPr>
          <w:rFonts w:hint="eastAsia"/>
          <w:b/>
          <w:bCs/>
          <w:lang w:val="en-US" w:eastAsia="zh-CN"/>
        </w:rPr>
        <w:t>The general test configuration includs bandwidth/duplexing, TDD pattern, RMC, OCNG, channel model, BS location, number of neighbour cells for test of antenna array.</w:t>
      </w:r>
    </w:p>
    <w:p>
      <w:pPr>
        <w:pStyle w:val="12"/>
        <w:numPr>
          <w:ilvl w:val="0"/>
          <w:numId w:val="0"/>
        </w:numPr>
        <w:bidi w:val="0"/>
        <w:ind w:leftChars="0"/>
        <w:rPr>
          <w:rFonts w:hint="default"/>
          <w:lang w:val="en-US" w:eastAsia="zh-CN"/>
        </w:rPr>
      </w:pPr>
      <w:r>
        <w:rPr>
          <w:rFonts w:hint="eastAsia"/>
          <w:u w:val="single"/>
          <w:lang w:val="en-US" w:eastAsia="zh-CN"/>
        </w:rPr>
        <w:t>Test method for UE with antenna array</w:t>
      </w:r>
    </w:p>
    <w:p>
      <w:pPr>
        <w:pStyle w:val="12"/>
        <w:numPr>
          <w:ilvl w:val="0"/>
          <w:numId w:val="0"/>
        </w:numPr>
        <w:bidi w:val="0"/>
        <w:ind w:leftChars="0"/>
        <w:rPr>
          <w:rFonts w:hint="eastAsia"/>
          <w:lang w:val="en-US" w:eastAsia="zh-CN"/>
        </w:rPr>
      </w:pPr>
      <w:r>
        <w:rPr>
          <w:rFonts w:hint="eastAsia"/>
          <w:lang w:val="en-US" w:eastAsia="zh-CN"/>
        </w:rPr>
        <w:t>Regarding the test method for antenna array case, due to it is new challenge and not involved in legacy FR1, RAN4 had held quite sufficient discussion during R18 ATG performance part with both RRM and RF delegates involved in. All progress during the whole discussion currently are shown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宋体" w:cs="Times New Roman"/>
                <w:b/>
                <w:bCs/>
                <w:iCs/>
                <w:color w:val="auto"/>
                <w:sz w:val="20"/>
                <w:szCs w:val="20"/>
                <w:highlight w:val="green"/>
                <w:lang w:val="en-US" w:eastAsia="zh-CN"/>
              </w:rPr>
            </w:pPr>
            <w:r>
              <w:rPr>
                <w:rFonts w:hint="eastAsia"/>
                <w:b/>
                <w:color w:val="auto"/>
                <w:sz w:val="20"/>
                <w:szCs w:val="20"/>
                <w:u w:val="single"/>
                <w:lang w:eastAsia="ko-KR"/>
              </w:rPr>
              <w:t>Test method for UE with antenna array</w:t>
            </w:r>
            <w:r>
              <w:rPr>
                <w:rFonts w:hint="eastAsia" w:eastAsia="宋体"/>
                <w:b/>
                <w:color w:val="auto"/>
                <w:sz w:val="20"/>
                <w:szCs w:val="20"/>
                <w:u w:val="single"/>
                <w:lang w:val="en-US" w:eastAsia="zh-CN"/>
              </w:rPr>
              <w:t xml:space="preserve"> in R18 ATG</w:t>
            </w:r>
          </w:p>
          <w:p>
            <w:pPr>
              <w:keepNext w:val="0"/>
              <w:keepLines w:val="0"/>
              <w:pageBreakBefore w:val="0"/>
              <w:kinsoku/>
              <w:wordWrap/>
              <w:overflowPunct/>
              <w:topLinePunct w:val="0"/>
              <w:autoSpaceDE/>
              <w:autoSpaceDN/>
              <w:bidi w:val="0"/>
              <w:adjustRightInd/>
              <w:snapToGrid/>
              <w:textAlignment w:val="auto"/>
              <w:rPr>
                <w:rFonts w:hint="eastAsia" w:ascii="Times New Roman" w:hAnsi="Times New Roman" w:cs="Times New Roman" w:eastAsiaTheme="minorEastAsia"/>
                <w:b/>
                <w:bCs/>
                <w:iCs/>
                <w:color w:val="auto"/>
                <w:sz w:val="20"/>
                <w:szCs w:val="20"/>
                <w:lang w:val="en-US" w:eastAsia="zh-CN"/>
              </w:rPr>
            </w:pPr>
            <w:r>
              <w:rPr>
                <w:rFonts w:hint="eastAsia" w:ascii="Times New Roman" w:hAnsi="Times New Roman" w:cs="Times New Roman" w:eastAsiaTheme="minorEastAsia"/>
                <w:b/>
                <w:bCs/>
                <w:iCs/>
                <w:color w:val="auto"/>
                <w:sz w:val="20"/>
                <w:szCs w:val="20"/>
                <w:highlight w:val="green"/>
                <w:lang w:val="en-US" w:eastAsia="zh-CN"/>
              </w:rPr>
              <w:t>Agreement</w:t>
            </w:r>
            <w:r>
              <w:rPr>
                <w:rFonts w:hint="eastAsia" w:ascii="Times New Roman" w:hAnsi="Times New Roman" w:cs="Times New Roman" w:eastAsiaTheme="minorEastAsia"/>
                <w:b/>
                <w:bCs/>
                <w:iCs/>
                <w:color w:val="auto"/>
                <w:sz w:val="20"/>
                <w:szCs w:val="20"/>
                <w:lang w:val="en-US" w:eastAsia="zh-CN"/>
              </w:rPr>
              <w:t>:</w:t>
            </w:r>
          </w:p>
          <w:p>
            <w:pPr>
              <w:pStyle w:val="30"/>
              <w:keepNext w:val="0"/>
              <w:keepLines w:val="0"/>
              <w:pageBreakBefore w:val="0"/>
              <w:numPr>
                <w:ilvl w:val="0"/>
                <w:numId w:val="4"/>
              </w:numPr>
              <w:kinsoku/>
              <w:wordWrap/>
              <w:overflowPunct/>
              <w:topLinePunct w:val="0"/>
              <w:autoSpaceDE/>
              <w:autoSpaceDN/>
              <w:bidi w:val="0"/>
              <w:adjustRightInd/>
              <w:snapToGrid/>
              <w:ind w:firstLineChars="0"/>
              <w:textAlignment w:val="auto"/>
              <w:rPr>
                <w:rFonts w:hint="default" w:eastAsia="宋体" w:cs="Times New Roman"/>
                <w:color w:val="auto"/>
                <w:sz w:val="20"/>
                <w:szCs w:val="20"/>
                <w:lang w:val="en-US" w:eastAsia="zh-CN"/>
              </w:rPr>
            </w:pPr>
            <w:r>
              <w:rPr>
                <w:rFonts w:hint="default" w:eastAsia="宋体" w:cs="Times New Roman"/>
                <w:color w:val="auto"/>
                <w:sz w:val="20"/>
                <w:szCs w:val="20"/>
                <w:lang w:val="en-US" w:eastAsia="zh-CN"/>
              </w:rPr>
              <w:t>O</w:t>
            </w:r>
            <w:r>
              <w:rPr>
                <w:rFonts w:hint="eastAsia" w:eastAsia="宋体" w:cs="Times New Roman"/>
                <w:color w:val="auto"/>
                <w:sz w:val="20"/>
                <w:szCs w:val="20"/>
                <w:lang w:val="en-US" w:eastAsia="zh-CN"/>
              </w:rPr>
              <w:t>n</w:t>
            </w:r>
            <w:r>
              <w:rPr>
                <w:rFonts w:hint="default" w:eastAsia="宋体" w:cs="Times New Roman"/>
                <w:color w:val="auto"/>
                <w:sz w:val="20"/>
                <w:szCs w:val="20"/>
                <w:lang w:val="en-US" w:eastAsia="zh-CN"/>
              </w:rPr>
              <w:t xml:space="preserve"> the test method for UE with antenna array, further discuss: </w:t>
            </w:r>
          </w:p>
          <w:p>
            <w:pPr>
              <w:pStyle w:val="68"/>
              <w:keepNext w:val="0"/>
              <w:keepLines w:val="0"/>
              <w:pageBreakBefore w:val="0"/>
              <w:widowControl w:val="0"/>
              <w:kinsoku/>
              <w:wordWrap/>
              <w:overflowPunct/>
              <w:topLinePunct w:val="0"/>
              <w:autoSpaceDE/>
              <w:autoSpaceDN/>
              <w:bidi w:val="0"/>
              <w:adjustRightInd/>
              <w:snapToGrid/>
              <w:spacing w:after="0"/>
              <w:ind w:left="1236" w:leftChars="0" w:hanging="360" w:firstLineChars="0"/>
              <w:textAlignment w:val="auto"/>
              <w:rPr>
                <w:rFonts w:hint="default" w:ascii="Calibri" w:hAnsi="Calibri" w:eastAsia="宋体" w:cs="Times New Roman"/>
                <w:color w:val="auto"/>
                <w:kern w:val="2"/>
                <w:sz w:val="20"/>
                <w:szCs w:val="20"/>
                <w:lang w:val="en-US" w:eastAsia="zh-CN" w:bidi="ar-SA"/>
              </w:rPr>
            </w:pPr>
            <w:r>
              <w:rPr>
                <w:rFonts w:hint="default" w:ascii="Calibri" w:hAnsi="Calibri" w:eastAsia="宋体" w:cs="Times New Roman"/>
                <w:color w:val="auto"/>
                <w:kern w:val="2"/>
                <w:sz w:val="20"/>
                <w:szCs w:val="20"/>
                <w:lang w:val="en-US" w:eastAsia="zh-CN" w:bidi="ar-SA"/>
              </w:rPr>
              <w:t>Whether OTA test is feasible.</w:t>
            </w:r>
          </w:p>
          <w:p>
            <w:pPr>
              <w:pStyle w:val="68"/>
              <w:keepNext w:val="0"/>
              <w:keepLines w:val="0"/>
              <w:pageBreakBefore w:val="0"/>
              <w:widowControl w:val="0"/>
              <w:kinsoku/>
              <w:wordWrap/>
              <w:overflowPunct/>
              <w:topLinePunct w:val="0"/>
              <w:autoSpaceDE/>
              <w:autoSpaceDN/>
              <w:bidi w:val="0"/>
              <w:adjustRightInd/>
              <w:snapToGrid/>
              <w:spacing w:after="0"/>
              <w:ind w:left="1236" w:leftChars="0" w:hanging="360" w:firstLineChars="0"/>
              <w:textAlignment w:val="auto"/>
              <w:rPr>
                <w:rFonts w:hint="default" w:ascii="Calibri" w:hAnsi="Calibri" w:eastAsia="宋体" w:cs="Times New Roman"/>
                <w:color w:val="auto"/>
                <w:kern w:val="2"/>
                <w:sz w:val="20"/>
                <w:szCs w:val="20"/>
                <w:lang w:val="en-US" w:eastAsia="zh-CN" w:bidi="ar-SA"/>
              </w:rPr>
            </w:pPr>
            <w:r>
              <w:rPr>
                <w:rFonts w:hint="default" w:ascii="Calibri" w:hAnsi="Calibri" w:eastAsia="宋体" w:cs="Times New Roman"/>
                <w:color w:val="auto"/>
                <w:kern w:val="2"/>
                <w:sz w:val="20"/>
                <w:szCs w:val="20"/>
                <w:lang w:val="en-US" w:eastAsia="zh-CN" w:bidi="ar-SA"/>
              </w:rPr>
              <w:t>Whether/how if conducted test is to be used. FFS whether scaling factor needs to be considered in the test requiremetns.</w:t>
            </w:r>
          </w:p>
          <w:p>
            <w:pPr>
              <w:keepNext w:val="0"/>
              <w:keepLines w:val="0"/>
              <w:pageBreakBefore w:val="0"/>
              <w:widowControl w:val="0"/>
              <w:kinsoku/>
              <w:wordWrap/>
              <w:overflowPunct/>
              <w:topLinePunct w:val="0"/>
              <w:autoSpaceDE/>
              <w:autoSpaceDN/>
              <w:bidi w:val="0"/>
              <w:adjustRightInd/>
              <w:snapToGrid/>
              <w:textAlignment w:val="auto"/>
              <w:rPr>
                <w:sz w:val="21"/>
                <w:szCs w:val="21"/>
              </w:rPr>
            </w:pPr>
            <w:r>
              <w:rPr>
                <w:rFonts w:hint="eastAsia"/>
                <w:sz w:val="21"/>
                <w:szCs w:val="21"/>
                <w:highlight w:val="green"/>
              </w:rPr>
              <w:t>A</w:t>
            </w:r>
            <w:r>
              <w:rPr>
                <w:sz w:val="21"/>
                <w:szCs w:val="21"/>
                <w:highlight w:val="green"/>
              </w:rPr>
              <w:t>greement</w:t>
            </w:r>
            <w:r>
              <w:rPr>
                <w:sz w:val="21"/>
                <w:szCs w:val="21"/>
              </w:rPr>
              <w:t>:</w:t>
            </w:r>
          </w:p>
          <w:p>
            <w:pPr>
              <w:pStyle w:val="30"/>
              <w:keepNext w:val="0"/>
              <w:keepLines w:val="0"/>
              <w:pageBreakBefore w:val="0"/>
              <w:numPr>
                <w:ilvl w:val="0"/>
                <w:numId w:val="4"/>
              </w:numPr>
              <w:kinsoku/>
              <w:wordWrap/>
              <w:overflowPunct/>
              <w:topLinePunct w:val="0"/>
              <w:autoSpaceDE/>
              <w:autoSpaceDN/>
              <w:bidi w:val="0"/>
              <w:adjustRightInd/>
              <w:snapToGrid/>
              <w:ind w:firstLineChars="0"/>
              <w:textAlignment w:val="auto"/>
              <w:rPr>
                <w:rFonts w:hint="eastAsia"/>
              </w:rPr>
            </w:pPr>
            <w:r>
              <w:rPr>
                <w:rFonts w:hint="eastAsia"/>
                <w:lang w:val="en-US" w:eastAsia="zh-CN"/>
              </w:rPr>
              <w:t>U</w:t>
            </w:r>
            <w:r>
              <w:rPr>
                <w:rFonts w:hint="eastAsia"/>
              </w:rPr>
              <w:t xml:space="preserve">se the test method of </w:t>
            </w:r>
            <w:r>
              <w:t>conducted test</w:t>
            </w:r>
          </w:p>
          <w:p>
            <w:pPr>
              <w:pStyle w:val="68"/>
              <w:keepNext w:val="0"/>
              <w:keepLines w:val="0"/>
              <w:pageBreakBefore w:val="0"/>
              <w:widowControl w:val="0"/>
              <w:kinsoku/>
              <w:wordWrap/>
              <w:overflowPunct/>
              <w:topLinePunct w:val="0"/>
              <w:autoSpaceDE/>
              <w:autoSpaceDN/>
              <w:bidi w:val="0"/>
              <w:adjustRightInd/>
              <w:snapToGrid/>
              <w:spacing w:after="0"/>
              <w:ind w:left="1236" w:leftChars="0" w:hanging="360" w:firstLineChars="0"/>
              <w:textAlignment w:val="auto"/>
              <w:rPr>
                <w:rFonts w:hint="default" w:ascii="Calibri" w:hAnsi="Calibri" w:eastAsia="宋体" w:cs="Times New Roman"/>
                <w:color w:val="auto"/>
                <w:kern w:val="2"/>
                <w:sz w:val="20"/>
                <w:szCs w:val="20"/>
                <w:lang w:val="en-US" w:eastAsia="zh-CN" w:bidi="ar-SA"/>
              </w:rPr>
            </w:pPr>
            <w:r>
              <w:rPr>
                <w:rFonts w:hint="default" w:ascii="Calibri" w:hAnsi="Calibri" w:eastAsia="宋体" w:cs="Times New Roman"/>
                <w:color w:val="auto"/>
                <w:kern w:val="2"/>
                <w:sz w:val="20"/>
                <w:szCs w:val="20"/>
                <w:lang w:val="en-US" w:eastAsia="zh-CN" w:bidi="ar-SA"/>
              </w:rPr>
              <w:t xml:space="preserve">Endorse the CRs without scaling factor (scaling factor = [1]), and close the WI performance part in this meeting. </w:t>
            </w:r>
          </w:p>
          <w:p>
            <w:pPr>
              <w:pStyle w:val="68"/>
              <w:keepNext w:val="0"/>
              <w:keepLines w:val="0"/>
              <w:pageBreakBefore w:val="0"/>
              <w:widowControl w:val="0"/>
              <w:kinsoku/>
              <w:wordWrap/>
              <w:overflowPunct/>
              <w:topLinePunct w:val="0"/>
              <w:autoSpaceDE/>
              <w:autoSpaceDN/>
              <w:bidi w:val="0"/>
              <w:adjustRightInd/>
              <w:snapToGrid/>
              <w:spacing w:after="0"/>
              <w:ind w:left="1236" w:leftChars="0" w:hanging="360" w:firstLineChars="0"/>
              <w:textAlignment w:val="auto"/>
              <w:rPr>
                <w:rFonts w:hint="default" w:ascii="Calibri" w:hAnsi="Calibri" w:eastAsia="宋体" w:cs="Times New Roman"/>
                <w:color w:val="auto"/>
                <w:kern w:val="2"/>
                <w:sz w:val="20"/>
                <w:szCs w:val="20"/>
                <w:lang w:val="en-US" w:eastAsia="zh-CN" w:bidi="ar-SA"/>
              </w:rPr>
            </w:pPr>
            <w:r>
              <w:rPr>
                <w:rFonts w:hint="default" w:ascii="Calibri" w:hAnsi="Calibri" w:eastAsia="宋体" w:cs="Times New Roman"/>
                <w:color w:val="auto"/>
                <w:kern w:val="2"/>
                <w:sz w:val="20"/>
                <w:szCs w:val="20"/>
                <w:lang w:val="en-US" w:eastAsia="zh-CN" w:bidi="ar-SA"/>
              </w:rPr>
              <w:t>For the draft CRs, add an Editor’s note that: “the scaling factor may be revisited if needed”.</w:t>
            </w:r>
          </w:p>
          <w:p>
            <w:pPr>
              <w:keepNext w:val="0"/>
              <w:keepLines w:val="0"/>
              <w:pageBreakBefore w:val="0"/>
              <w:kinsoku/>
              <w:wordWrap/>
              <w:overflowPunct/>
              <w:topLinePunct w:val="0"/>
              <w:autoSpaceDE/>
              <w:autoSpaceDN/>
              <w:bidi w:val="0"/>
              <w:adjustRightInd/>
              <w:snapToGrid/>
              <w:textAlignment w:val="auto"/>
              <w:rPr>
                <w:sz w:val="21"/>
                <w:szCs w:val="21"/>
              </w:rPr>
            </w:pPr>
            <w:r>
              <w:rPr>
                <w:rFonts w:hint="eastAsia"/>
                <w:sz w:val="21"/>
                <w:szCs w:val="21"/>
                <w:highlight w:val="green"/>
              </w:rPr>
              <w:t>Agreement</w:t>
            </w:r>
            <w:r>
              <w:rPr>
                <w:rFonts w:hint="eastAsia"/>
                <w:sz w:val="21"/>
                <w:szCs w:val="21"/>
              </w:rPr>
              <w:t>:</w:t>
            </w:r>
          </w:p>
          <w:p>
            <w:pPr>
              <w:pStyle w:val="30"/>
              <w:keepNext w:val="0"/>
              <w:keepLines w:val="0"/>
              <w:pageBreakBefore w:val="0"/>
              <w:numPr>
                <w:ilvl w:val="0"/>
                <w:numId w:val="4"/>
              </w:numPr>
              <w:kinsoku/>
              <w:wordWrap/>
              <w:overflowPunct/>
              <w:topLinePunct w:val="0"/>
              <w:autoSpaceDE/>
              <w:autoSpaceDN/>
              <w:bidi w:val="0"/>
              <w:adjustRightInd/>
              <w:snapToGrid/>
              <w:ind w:firstLineChars="0"/>
              <w:textAlignment w:val="auto"/>
              <w:rPr>
                <w:sz w:val="21"/>
                <w:szCs w:val="21"/>
              </w:rPr>
            </w:pPr>
            <w:r>
              <w:rPr>
                <w:rFonts w:hint="eastAsia"/>
                <w:sz w:val="21"/>
                <w:szCs w:val="21"/>
              </w:rPr>
              <w:t>C</w:t>
            </w:r>
            <w:r>
              <w:rPr>
                <w:sz w:val="21"/>
                <w:szCs w:val="21"/>
              </w:rPr>
              <w:t>onducted test without scaling factor</w:t>
            </w:r>
            <w:r>
              <w:rPr>
                <w:rFonts w:hint="eastAsia"/>
                <w:sz w:val="21"/>
                <w:szCs w:val="21"/>
              </w:rPr>
              <w:t xml:space="preserve"> (Scaling factor = 1)</w:t>
            </w:r>
          </w:p>
          <w:p>
            <w:pPr>
              <w:keepNext w:val="0"/>
              <w:keepLines w:val="0"/>
              <w:pageBreakBefore w:val="0"/>
              <w:kinsoku/>
              <w:wordWrap/>
              <w:overflowPunct/>
              <w:topLinePunct w:val="0"/>
              <w:autoSpaceDE/>
              <w:autoSpaceDN/>
              <w:bidi w:val="0"/>
              <w:adjustRightInd/>
              <w:snapToGrid/>
              <w:textAlignment w:val="auto"/>
              <w:rPr>
                <w:sz w:val="21"/>
                <w:szCs w:val="21"/>
              </w:rPr>
            </w:pPr>
            <w:r>
              <w:rPr>
                <w:rFonts w:hint="eastAsia"/>
                <w:sz w:val="21"/>
                <w:szCs w:val="21"/>
                <w:highlight w:val="green"/>
              </w:rPr>
              <w:t>Agreement</w:t>
            </w:r>
            <w:r>
              <w:rPr>
                <w:rFonts w:hint="eastAsia"/>
                <w:sz w:val="21"/>
                <w:szCs w:val="21"/>
              </w:rPr>
              <w:t>:</w:t>
            </w:r>
          </w:p>
          <w:p>
            <w:pPr>
              <w:pStyle w:val="30"/>
              <w:keepNext w:val="0"/>
              <w:keepLines w:val="0"/>
              <w:pageBreakBefore w:val="0"/>
              <w:numPr>
                <w:ilvl w:val="0"/>
                <w:numId w:val="4"/>
              </w:numPr>
              <w:kinsoku/>
              <w:wordWrap/>
              <w:overflowPunct/>
              <w:topLinePunct w:val="0"/>
              <w:autoSpaceDE/>
              <w:autoSpaceDN/>
              <w:bidi w:val="0"/>
              <w:adjustRightInd/>
              <w:snapToGrid/>
              <w:ind w:firstLineChars="0"/>
              <w:textAlignment w:val="auto"/>
              <w:rPr>
                <w:rFonts w:hint="default"/>
                <w:vertAlign w:val="baseline"/>
                <w:lang w:val="en-US" w:eastAsia="zh-CN"/>
              </w:rPr>
            </w:pPr>
            <w:r>
              <w:rPr>
                <w:sz w:val="21"/>
                <w:szCs w:val="21"/>
              </w:rPr>
              <w:t>For ATG UE with the antenna array, if scaling factor is 1 in the test cases, no need to consider the sharing factor between L1 and L3 measurement.</w:t>
            </w:r>
            <w:r>
              <w:rPr>
                <w:rFonts w:hint="eastAsia"/>
                <w:sz w:val="21"/>
                <w:szCs w:val="21"/>
              </w:rPr>
              <w:t xml:space="preserve"> </w:t>
            </w:r>
          </w:p>
        </w:tc>
      </w:tr>
    </w:tbl>
    <w:p>
      <w:pPr>
        <w:pStyle w:val="12"/>
        <w:numPr>
          <w:ilvl w:val="0"/>
          <w:numId w:val="0"/>
        </w:numPr>
        <w:bidi w:val="0"/>
        <w:ind w:leftChars="0"/>
        <w:rPr>
          <w:rFonts w:hint="eastAsia"/>
          <w:lang w:val="en-US" w:eastAsia="zh-CN"/>
        </w:rPr>
      </w:pPr>
      <w:r>
        <w:rPr>
          <w:rFonts w:hint="eastAsia"/>
          <w:lang w:val="en-US" w:eastAsia="zh-CN"/>
        </w:rPr>
        <w:t>Here for the antenna array assymption for R19 ATG, actually we can classify all allowed cases into 2 categories:</w:t>
      </w:r>
    </w:p>
    <w:p>
      <w:pPr>
        <w:pStyle w:val="12"/>
        <w:numPr>
          <w:ilvl w:val="0"/>
          <w:numId w:val="8"/>
        </w:numPr>
        <w:bidi w:val="0"/>
        <w:ind w:left="420" w:leftChars="0" w:hanging="420" w:firstLineChars="0"/>
        <w:rPr>
          <w:rFonts w:hint="default"/>
          <w:lang w:val="en-US" w:eastAsia="zh-CN"/>
        </w:rPr>
      </w:pPr>
      <w:r>
        <w:rPr>
          <w:rFonts w:hint="eastAsia"/>
          <w:lang w:val="en-US" w:eastAsia="zh-CN"/>
        </w:rPr>
        <w:t>Category 1: common Rx beam in PCC and SCC band(s), including intra-band antenna array and Case 4 of inter-band</w:t>
      </w:r>
    </w:p>
    <w:p>
      <w:pPr>
        <w:pStyle w:val="12"/>
        <w:numPr>
          <w:ilvl w:val="0"/>
          <w:numId w:val="8"/>
        </w:numPr>
        <w:bidi w:val="0"/>
        <w:ind w:left="420" w:leftChars="0" w:hanging="420" w:firstLineChars="0"/>
        <w:rPr>
          <w:rFonts w:hint="default"/>
          <w:lang w:val="en-US" w:eastAsia="zh-CN"/>
        </w:rPr>
      </w:pPr>
      <w:r>
        <w:rPr>
          <w:rFonts w:hint="eastAsia"/>
          <w:lang w:val="en-US" w:eastAsia="zh-CN"/>
        </w:rPr>
        <w:t>Category 2: separate Rx beam in PCC and SCC bands, including other cases</w:t>
      </w:r>
    </w:p>
    <w:p>
      <w:pPr>
        <w:pStyle w:val="12"/>
        <w:numPr>
          <w:ilvl w:val="0"/>
          <w:numId w:val="0"/>
        </w:numPr>
        <w:bidi w:val="0"/>
        <w:ind w:leftChars="0"/>
        <w:rPr>
          <w:rFonts w:hint="eastAsia"/>
          <w:lang w:val="en-US" w:eastAsia="zh-CN"/>
        </w:rPr>
      </w:pPr>
      <w:r>
        <w:rPr>
          <w:rFonts w:hint="eastAsia"/>
          <w:lang w:val="en-US" w:eastAsia="zh-CN"/>
        </w:rPr>
        <w:t>For Category 1, it is similar as the antenna array in R18 ATG, so directly reuse the above method defined in R18 ATG.</w:t>
      </w:r>
    </w:p>
    <w:p>
      <w:pPr>
        <w:pStyle w:val="12"/>
        <w:numPr>
          <w:ilvl w:val="0"/>
          <w:numId w:val="0"/>
        </w:numPr>
        <w:bidi w:val="0"/>
        <w:ind w:leftChars="0"/>
        <w:rPr>
          <w:rFonts w:hint="eastAsia"/>
          <w:lang w:val="en-US" w:eastAsia="zh-CN"/>
        </w:rPr>
      </w:pPr>
      <w:r>
        <w:rPr>
          <w:rFonts w:hint="eastAsia"/>
          <w:lang w:val="en-US" w:eastAsia="zh-CN"/>
        </w:rPr>
        <w:t>For Category 2, based on our analysis in core part, the L1/L3 sharing factor could be assumed as 1 since UE could perform RRM measurement and L1 measurement in parallel. It seems all above agreements are applicable as well.</w:t>
      </w:r>
    </w:p>
    <w:p>
      <w:pPr>
        <w:pStyle w:val="12"/>
        <w:numPr>
          <w:ilvl w:val="0"/>
          <w:numId w:val="0"/>
        </w:numPr>
        <w:bidi w:val="0"/>
        <w:ind w:leftChars="0"/>
        <w:rPr>
          <w:rFonts w:hint="default"/>
          <w:b/>
          <w:bCs/>
          <w:lang w:val="en-US" w:eastAsia="zh-CN"/>
        </w:rPr>
      </w:pPr>
      <w:r>
        <w:rPr>
          <w:rFonts w:hint="eastAsia"/>
          <w:b/>
          <w:bCs/>
          <w:lang w:val="en-US" w:eastAsia="zh-CN"/>
        </w:rPr>
        <w:t>Proposal 3: Reuse the test method defined in R18 ATG for all antenna array cases including intra-band CA and inter-band CA.</w:t>
      </w:r>
    </w:p>
    <w:p>
      <w:pPr>
        <w:pStyle w:val="12"/>
        <w:numPr>
          <w:ilvl w:val="0"/>
          <w:numId w:val="0"/>
        </w:numPr>
        <w:bidi w:val="0"/>
        <w:ind w:leftChars="0"/>
        <w:rPr>
          <w:rFonts w:hint="default"/>
          <w:u w:val="single"/>
          <w:lang w:val="en-US" w:eastAsia="zh-CN"/>
        </w:rPr>
      </w:pPr>
      <w:r>
        <w:rPr>
          <w:rFonts w:hint="eastAsia"/>
          <w:u w:val="single"/>
          <w:lang w:val="en-US" w:eastAsia="zh-CN"/>
        </w:rPr>
        <w:t>Accuracy requirement</w:t>
      </w:r>
    </w:p>
    <w:p>
      <w:pPr>
        <w:pStyle w:val="12"/>
        <w:numPr>
          <w:ilvl w:val="0"/>
          <w:numId w:val="0"/>
        </w:numPr>
        <w:bidi w:val="0"/>
        <w:ind w:leftChars="0"/>
        <w:rPr>
          <w:rFonts w:hint="eastAsia"/>
          <w:lang w:val="en-US" w:eastAsia="zh-CN"/>
        </w:rPr>
      </w:pPr>
      <w:r>
        <w:rPr>
          <w:rFonts w:hint="eastAsia"/>
          <w:lang w:val="en-US" w:eastAsia="zh-CN"/>
        </w:rPr>
        <w:t>We can not see any potential impact on the accuracy requirements. So it is preferred to reuse L3 and L3 accuracy requirements of legacy FR1 TN, which is applied in R18 ATG.</w:t>
      </w:r>
    </w:p>
    <w:p>
      <w:pPr>
        <w:pStyle w:val="12"/>
        <w:numPr>
          <w:ilvl w:val="0"/>
          <w:numId w:val="0"/>
        </w:numPr>
        <w:bidi w:val="0"/>
        <w:ind w:leftChars="0"/>
        <w:rPr>
          <w:rFonts w:hint="default"/>
          <w:b/>
          <w:bCs/>
          <w:lang w:val="en-US" w:eastAsia="zh-CN"/>
        </w:rPr>
      </w:pPr>
      <w:r>
        <w:rPr>
          <w:rFonts w:hint="eastAsia"/>
          <w:b/>
          <w:bCs/>
          <w:lang w:val="en-US" w:eastAsia="zh-CN"/>
        </w:rPr>
        <w:t>Proposal 4: Reuse the L3 and L1 accuracy requirement of legacy FR1 TN</w:t>
      </w:r>
    </w:p>
    <w:p>
      <w:pPr>
        <w:pStyle w:val="3"/>
        <w:numPr>
          <w:ilvl w:val="0"/>
          <w:numId w:val="0"/>
        </w:numPr>
        <w:bidi w:val="0"/>
        <w:ind w:leftChars="0"/>
        <w:rPr>
          <w:rFonts w:hint="eastAsia"/>
          <w:lang w:val="en-US" w:eastAsia="zh-CN"/>
        </w:rPr>
      </w:pPr>
      <w:r>
        <w:rPr>
          <w:rFonts w:hint="eastAsia"/>
          <w:lang w:val="en-US" w:eastAsia="zh-CN"/>
        </w:rPr>
        <w:t>2.2 Test case design</w:t>
      </w:r>
    </w:p>
    <w:p>
      <w:pPr>
        <w:rPr>
          <w:rFonts w:hint="eastAsia"/>
          <w:lang w:val="en-US" w:eastAsia="zh-CN"/>
        </w:rPr>
      </w:pPr>
    </w:p>
    <w:p>
      <w:pPr>
        <w:rPr>
          <w:rFonts w:hint="eastAsia"/>
          <w:lang w:val="en-US" w:eastAsia="zh-CN"/>
        </w:rPr>
      </w:pPr>
      <w:r>
        <w:rPr>
          <w:rFonts w:hint="eastAsia"/>
          <w:lang w:val="en-US" w:eastAsia="zh-CN"/>
        </w:rPr>
        <w:t>For the exact test case, based on the progress achieved in core part, we defined core part requirements on the following aspects:</w:t>
      </w:r>
    </w:p>
    <w:p>
      <w:pPr>
        <w:numPr>
          <w:ilvl w:val="0"/>
          <w:numId w:val="8"/>
        </w:numPr>
        <w:ind w:left="420" w:leftChars="0" w:hanging="420" w:firstLineChars="0"/>
        <w:rPr>
          <w:rFonts w:hint="default"/>
          <w:lang w:val="en-US" w:eastAsia="zh-CN"/>
        </w:rPr>
      </w:pPr>
      <w:r>
        <w:rPr>
          <w:rFonts w:hint="eastAsia"/>
          <w:lang w:val="en-US" w:eastAsia="zh-CN"/>
        </w:rPr>
        <w:t>Timing</w:t>
      </w:r>
    </w:p>
    <w:p>
      <w:pPr>
        <w:numPr>
          <w:ilvl w:val="1"/>
          <w:numId w:val="8"/>
        </w:numPr>
        <w:ind w:left="840" w:leftChars="0" w:hanging="420" w:firstLineChars="0"/>
        <w:rPr>
          <w:rFonts w:hint="default"/>
          <w:lang w:val="en-US" w:eastAsia="zh-CN"/>
        </w:rPr>
      </w:pPr>
      <w:r>
        <w:rPr>
          <w:rFonts w:hint="eastAsia"/>
          <w:lang w:val="en-US" w:eastAsia="zh-CN"/>
        </w:rPr>
        <w:t>No MTTD defined for intra-band/inter-band ATG</w:t>
      </w:r>
    </w:p>
    <w:p>
      <w:pPr>
        <w:numPr>
          <w:ilvl w:val="1"/>
          <w:numId w:val="8"/>
        </w:numPr>
        <w:ind w:left="840" w:leftChars="0" w:hanging="420" w:firstLineChars="0"/>
        <w:rPr>
          <w:rFonts w:hint="default"/>
          <w:lang w:val="en-US" w:eastAsia="zh-CN"/>
        </w:rPr>
      </w:pPr>
      <w:r>
        <w:rPr>
          <w:rFonts w:hint="eastAsia"/>
          <w:lang w:val="en-US" w:eastAsia="zh-CN"/>
        </w:rPr>
        <w:t>MRTD is defined for inter-band ATG, same as legacy FR1 inter-band CA</w:t>
      </w:r>
    </w:p>
    <w:p>
      <w:pPr>
        <w:numPr>
          <w:ilvl w:val="0"/>
          <w:numId w:val="9"/>
        </w:numPr>
        <w:ind w:left="420" w:leftChars="0" w:hanging="420" w:firstLineChars="0"/>
        <w:rPr>
          <w:rFonts w:hint="default"/>
          <w:lang w:val="en-US" w:eastAsia="zh-CN"/>
        </w:rPr>
      </w:pPr>
      <w:r>
        <w:rPr>
          <w:rFonts w:hint="eastAsia"/>
          <w:lang w:val="en-US" w:eastAsia="zh-CN"/>
        </w:rPr>
        <w:t>IDLE/INACTIVE</w:t>
      </w:r>
    </w:p>
    <w:p>
      <w:pPr>
        <w:numPr>
          <w:ilvl w:val="1"/>
          <w:numId w:val="9"/>
        </w:numPr>
        <w:ind w:left="840" w:leftChars="0" w:hanging="420" w:firstLineChars="0"/>
        <w:rPr>
          <w:rFonts w:hint="default"/>
          <w:lang w:val="en-US" w:eastAsia="zh-CN"/>
        </w:rPr>
      </w:pPr>
      <w:r>
        <w:rPr>
          <w:rFonts w:eastAsia="等线"/>
          <w:sz w:val="21"/>
          <w:szCs w:val="21"/>
          <w:highlight w:val="none"/>
        </w:rPr>
        <w:t>ΔR</w:t>
      </w:r>
      <w:r>
        <w:rPr>
          <w:rFonts w:eastAsia="等线"/>
          <w:sz w:val="21"/>
          <w:szCs w:val="21"/>
          <w:highlight w:val="none"/>
          <w:vertAlign w:val="subscript"/>
        </w:rPr>
        <w:t>IB,c</w:t>
      </w:r>
      <w:r>
        <w:rPr>
          <w:rFonts w:eastAsia="等线"/>
          <w:sz w:val="21"/>
          <w:szCs w:val="21"/>
          <w:highlight w:val="none"/>
        </w:rPr>
        <w:t xml:space="preserve">, </w:t>
      </w:r>
      <w:r>
        <w:rPr>
          <w:rFonts w:hint="eastAsia" w:eastAsia="等线"/>
          <w:sz w:val="21"/>
          <w:szCs w:val="21"/>
          <w:highlight w:val="none"/>
          <w:lang w:val="en-US" w:eastAsia="zh-CN"/>
        </w:rPr>
        <w:t>is introduced to the exception of side conditions for cell selection measurements, same as RF session</w:t>
      </w:r>
    </w:p>
    <w:p>
      <w:pPr>
        <w:numPr>
          <w:ilvl w:val="0"/>
          <w:numId w:val="10"/>
        </w:numPr>
        <w:ind w:left="420" w:leftChars="0" w:hanging="420" w:firstLineChars="0"/>
        <w:rPr>
          <w:rFonts w:hint="default"/>
          <w:lang w:val="en-US" w:eastAsia="zh-CN"/>
        </w:rPr>
      </w:pPr>
      <w:r>
        <w:rPr>
          <w:rFonts w:hint="eastAsia" w:eastAsia="等线"/>
          <w:sz w:val="21"/>
          <w:szCs w:val="21"/>
          <w:highlight w:val="none"/>
          <w:lang w:val="en-US" w:eastAsia="zh-CN"/>
        </w:rPr>
        <w:t>Measurement procedure</w:t>
      </w:r>
    </w:p>
    <w:p>
      <w:pPr>
        <w:numPr>
          <w:ilvl w:val="1"/>
          <w:numId w:val="10"/>
        </w:numPr>
        <w:ind w:left="840" w:leftChars="0" w:hanging="420" w:firstLineChars="0"/>
        <w:rPr>
          <w:rFonts w:hint="default"/>
          <w:lang w:val="en-US" w:eastAsia="zh-CN"/>
        </w:rPr>
      </w:pPr>
      <w:r>
        <w:rPr>
          <w:rFonts w:hint="eastAsia"/>
          <w:lang w:val="en-US" w:eastAsia="zh-CN"/>
        </w:rPr>
        <w:t>Introduce pre-configured measurement gap activation/deactivation delay requirement upon SCell activation/deactivation, same as legacy TN</w:t>
      </w:r>
    </w:p>
    <w:p>
      <w:pPr>
        <w:numPr>
          <w:ilvl w:val="1"/>
          <w:numId w:val="10"/>
        </w:numPr>
        <w:ind w:left="840" w:leftChars="0" w:hanging="420" w:firstLineChars="0"/>
        <w:rPr>
          <w:rFonts w:hint="default"/>
          <w:lang w:val="en-US" w:eastAsia="zh-CN"/>
        </w:rPr>
      </w:pPr>
      <w:r>
        <w:rPr>
          <w:rFonts w:hint="eastAsia"/>
          <w:lang w:val="en-US" w:eastAsia="zh-CN"/>
        </w:rPr>
        <w:t xml:space="preserve">L1/L3 measurement sharing factor is defined for RRM measurement </w:t>
      </w:r>
    </w:p>
    <w:p>
      <w:pPr>
        <w:numPr>
          <w:ilvl w:val="1"/>
          <w:numId w:val="10"/>
        </w:numPr>
        <w:ind w:left="840" w:leftChars="0" w:hanging="420" w:firstLineChars="0"/>
        <w:rPr>
          <w:rFonts w:hint="default"/>
          <w:lang w:val="en-US" w:eastAsia="zh-CN"/>
        </w:rPr>
      </w:pPr>
      <w:r>
        <w:rPr>
          <w:sz w:val="21"/>
          <w:szCs w:val="22"/>
        </w:rPr>
        <w:t>P</w:t>
      </w:r>
      <w:r>
        <w:rPr>
          <w:sz w:val="21"/>
          <w:szCs w:val="22"/>
          <w:vertAlign w:val="subscript"/>
        </w:rPr>
        <w:t>sharing factor</w:t>
      </w:r>
      <w:r>
        <w:rPr>
          <w:sz w:val="21"/>
          <w:szCs w:val="22"/>
        </w:rPr>
        <w:t xml:space="preserve"> </w:t>
      </w:r>
      <w:r>
        <w:rPr>
          <w:rFonts w:hint="eastAsia"/>
          <w:lang w:val="en-US" w:eastAsia="zh-CN"/>
        </w:rPr>
        <w:t>is defined for L1 measurement</w:t>
      </w:r>
    </w:p>
    <w:p>
      <w:pPr>
        <w:numPr>
          <w:ilvl w:val="1"/>
          <w:numId w:val="10"/>
        </w:numPr>
        <w:ind w:left="840" w:leftChars="0" w:hanging="420" w:firstLineChars="0"/>
        <w:rPr>
          <w:rFonts w:hint="default"/>
          <w:lang w:val="en-US" w:eastAsia="zh-CN"/>
        </w:rPr>
      </w:pPr>
      <w:r>
        <w:rPr>
          <w:rFonts w:hint="eastAsia"/>
          <w:lang w:val="en-US" w:eastAsia="zh-CN"/>
        </w:rPr>
        <w:t>Scheduling restriction stategy is defined for intra-band/inter-band ATG</w:t>
      </w:r>
    </w:p>
    <w:p>
      <w:pPr>
        <w:numPr>
          <w:ilvl w:val="1"/>
          <w:numId w:val="10"/>
        </w:numPr>
        <w:ind w:left="840" w:leftChars="0" w:hanging="420" w:firstLineChars="0"/>
        <w:rPr>
          <w:rFonts w:hint="default"/>
          <w:lang w:val="en-US" w:eastAsia="zh-CN"/>
        </w:rPr>
      </w:pPr>
      <w:r>
        <w:rPr>
          <w:rFonts w:hint="eastAsia"/>
          <w:lang w:val="en-US" w:eastAsia="zh-CN"/>
        </w:rPr>
        <w:t>Deactivated SCC measurement, [reuse legacy methodology]</w:t>
      </w:r>
    </w:p>
    <w:p>
      <w:pPr>
        <w:numPr>
          <w:ilvl w:val="0"/>
          <w:numId w:val="11"/>
        </w:numPr>
        <w:ind w:left="420" w:leftChars="0" w:hanging="420" w:firstLineChars="0"/>
        <w:rPr>
          <w:rFonts w:hint="default"/>
          <w:lang w:val="en-US" w:eastAsia="zh-CN"/>
        </w:rPr>
      </w:pPr>
      <w:r>
        <w:rPr>
          <w:rFonts w:hint="eastAsia"/>
          <w:lang w:val="en-US" w:eastAsia="zh-CN"/>
        </w:rPr>
        <w:t>Charicteristics</w:t>
      </w:r>
    </w:p>
    <w:p>
      <w:pPr>
        <w:numPr>
          <w:ilvl w:val="1"/>
          <w:numId w:val="11"/>
        </w:numPr>
        <w:ind w:left="840" w:leftChars="0" w:hanging="420" w:firstLineChars="0"/>
        <w:rPr>
          <w:rFonts w:hint="default"/>
          <w:lang w:val="en-US" w:eastAsia="zh-CN"/>
        </w:rPr>
      </w:pPr>
      <w:r>
        <w:rPr>
          <w:rFonts w:hint="eastAsia"/>
          <w:lang w:val="en-US" w:eastAsia="zh-CN"/>
        </w:rPr>
        <w:t>RLM/BFD/CBD, reuse legacy procedure and requirements</w:t>
      </w:r>
    </w:p>
    <w:p>
      <w:pPr>
        <w:numPr>
          <w:ilvl w:val="1"/>
          <w:numId w:val="11"/>
        </w:numPr>
        <w:ind w:left="840" w:leftChars="0" w:hanging="420" w:firstLineChars="0"/>
        <w:rPr>
          <w:rFonts w:hint="default"/>
          <w:lang w:val="en-US" w:eastAsia="zh-CN"/>
        </w:rPr>
      </w:pPr>
      <w:r>
        <w:rPr>
          <w:rFonts w:hint="eastAsia"/>
          <w:lang w:val="en-US" w:eastAsia="zh-CN"/>
        </w:rPr>
        <w:t>Active BWP switching, reuse legacy cases and requirements</w:t>
      </w:r>
    </w:p>
    <w:p>
      <w:pPr>
        <w:numPr>
          <w:ilvl w:val="1"/>
          <w:numId w:val="11"/>
        </w:numPr>
        <w:ind w:left="840" w:leftChars="0" w:hanging="420" w:firstLineChars="0"/>
        <w:rPr>
          <w:rFonts w:hint="default"/>
          <w:lang w:val="en-US" w:eastAsia="zh-CN"/>
        </w:rPr>
      </w:pPr>
      <w:r>
        <w:rPr>
          <w:rFonts w:hint="eastAsia"/>
          <w:lang w:val="en-US" w:eastAsia="zh-CN"/>
        </w:rPr>
        <w:t>Interruptions</w:t>
      </w:r>
    </w:p>
    <w:p>
      <w:pPr>
        <w:pStyle w:val="12"/>
        <w:numPr>
          <w:ilvl w:val="0"/>
          <w:numId w:val="0"/>
        </w:numPr>
        <w:bidi w:val="0"/>
        <w:ind w:leftChars="0"/>
        <w:rPr>
          <w:rFonts w:hint="eastAsia"/>
          <w:lang w:val="en-US" w:eastAsia="zh-CN"/>
        </w:rPr>
      </w:pPr>
      <w:r>
        <w:rPr>
          <w:rFonts w:hint="eastAsia"/>
          <w:lang w:val="en-US" w:eastAsia="zh-CN"/>
        </w:rPr>
        <w:t>For the requirements same as legacy, such as MRTD, pre-configured measurement gap activation/deactivation, [deactivated SCC measurement], RLM/BFD/CBD and active BWP switching, we prefer not to define test cases.</w:t>
      </w:r>
    </w:p>
    <w:p>
      <w:pPr>
        <w:pStyle w:val="12"/>
        <w:numPr>
          <w:ilvl w:val="0"/>
          <w:numId w:val="0"/>
        </w:numPr>
        <w:bidi w:val="0"/>
        <w:ind w:leftChars="0"/>
        <w:rPr>
          <w:rFonts w:hint="default"/>
          <w:lang w:val="en-US" w:eastAsia="zh-CN"/>
        </w:rPr>
      </w:pPr>
      <w:r>
        <w:rPr>
          <w:rFonts w:hint="eastAsia"/>
          <w:lang w:val="en-US" w:eastAsia="zh-CN"/>
        </w:rPr>
        <w:t>For the requirements different from legacy and introduced for intra/inter-band CA ATG, such as RRM measurement(with scheduling restriction), L1 measurement and some of interruptions, we prefer to verify the UE behavior through test cases.</w:t>
      </w:r>
    </w:p>
    <w:p>
      <w:pPr>
        <w:numPr>
          <w:ilvl w:val="0"/>
          <w:numId w:val="0"/>
        </w:numPr>
        <w:ind w:leftChars="0"/>
        <w:jc w:val="both"/>
        <w:rPr>
          <w:rFonts w:hint="eastAsia"/>
          <w:b/>
          <w:bCs/>
          <w:lang w:val="en-US" w:eastAsia="zh-CN"/>
        </w:rPr>
      </w:pPr>
      <w:r>
        <w:rPr>
          <w:rFonts w:hint="eastAsia"/>
          <w:b/>
          <w:bCs/>
          <w:lang w:val="en-US" w:eastAsia="zh-CN"/>
        </w:rPr>
        <w:t>Proposal 5: Based on the summaries of what we specified in core part and whether the exact requirements are reused from legacy TN, we suggest to verify the following test cases:</w:t>
      </w:r>
    </w:p>
    <w:p>
      <w:pPr>
        <w:numPr>
          <w:ilvl w:val="0"/>
          <w:numId w:val="12"/>
        </w:numPr>
        <w:ind w:left="420" w:leftChars="0" w:hanging="420" w:firstLineChars="0"/>
        <w:rPr>
          <w:rFonts w:hint="default"/>
          <w:lang w:val="en-US" w:eastAsia="zh-CN"/>
        </w:rPr>
      </w:pPr>
      <w:r>
        <w:rPr>
          <w:rFonts w:hint="eastAsia"/>
          <w:b/>
          <w:bCs/>
          <w:lang w:val="en-US" w:eastAsia="zh-CN"/>
        </w:rPr>
        <w:t>TC1: Intra-frequency measurement(with scheduling restriction verified as well)</w:t>
      </w:r>
    </w:p>
    <w:p>
      <w:pPr>
        <w:numPr>
          <w:ilvl w:val="0"/>
          <w:numId w:val="12"/>
        </w:numPr>
        <w:ind w:left="420" w:leftChars="0" w:hanging="420" w:firstLineChars="0"/>
        <w:rPr>
          <w:rFonts w:hint="default"/>
          <w:lang w:val="en-US" w:eastAsia="zh-CN"/>
        </w:rPr>
      </w:pPr>
      <w:r>
        <w:rPr>
          <w:rFonts w:hint="eastAsia"/>
          <w:b/>
          <w:bCs/>
          <w:lang w:val="en-US" w:eastAsia="zh-CN"/>
        </w:rPr>
        <w:t>TC2: Inter-frequency measurement(with scheduling restriction verified as well)</w:t>
      </w:r>
    </w:p>
    <w:p>
      <w:pPr>
        <w:numPr>
          <w:ilvl w:val="0"/>
          <w:numId w:val="12"/>
        </w:numPr>
        <w:ind w:left="420" w:leftChars="0" w:hanging="420" w:firstLineChars="0"/>
        <w:rPr>
          <w:rFonts w:hint="default"/>
          <w:lang w:val="en-US" w:eastAsia="zh-CN"/>
        </w:rPr>
      </w:pPr>
      <w:r>
        <w:rPr>
          <w:rFonts w:hint="eastAsia"/>
          <w:b/>
          <w:bCs/>
          <w:lang w:val="en-US" w:eastAsia="zh-CN"/>
        </w:rPr>
        <w:t>TC3: L1-RSRP measurement</w:t>
      </w:r>
    </w:p>
    <w:p>
      <w:pPr>
        <w:numPr>
          <w:ilvl w:val="0"/>
          <w:numId w:val="12"/>
        </w:numPr>
        <w:ind w:left="420" w:leftChars="0" w:hanging="420" w:firstLineChars="0"/>
        <w:rPr>
          <w:rFonts w:hint="default"/>
          <w:lang w:val="en-US" w:eastAsia="zh-CN"/>
        </w:rPr>
      </w:pPr>
      <w:r>
        <w:rPr>
          <w:rFonts w:hint="eastAsia"/>
          <w:b/>
          <w:bCs/>
          <w:lang w:val="en-US" w:eastAsia="zh-CN"/>
        </w:rPr>
        <w:t>TC4: The interruption of SCell addition/release</w:t>
      </w:r>
    </w:p>
    <w:p>
      <w:pPr>
        <w:numPr>
          <w:ilvl w:val="0"/>
          <w:numId w:val="12"/>
        </w:numPr>
        <w:ind w:left="420" w:leftChars="0" w:hanging="420" w:firstLineChars="0"/>
        <w:rPr>
          <w:rFonts w:hint="default"/>
          <w:lang w:val="en-US" w:eastAsia="zh-CN"/>
        </w:rPr>
      </w:pPr>
      <w:r>
        <w:rPr>
          <w:rFonts w:hint="eastAsia"/>
          <w:b/>
          <w:bCs/>
          <w:lang w:val="en-US" w:eastAsia="zh-CN"/>
        </w:rPr>
        <w:t>TC5: The interruption of SCell activation/deactivation</w:t>
      </w:r>
    </w:p>
    <w:p>
      <w:pPr>
        <w:numPr>
          <w:ilvl w:val="0"/>
          <w:numId w:val="0"/>
        </w:numPr>
        <w:ind w:leftChars="0"/>
        <w:jc w:val="both"/>
        <w:rPr>
          <w:rFonts w:hint="default"/>
          <w:b/>
          <w:bCs/>
          <w:lang w:val="en-US" w:eastAsia="zh-CN"/>
        </w:rPr>
      </w:pPr>
      <w:r>
        <w:rPr>
          <w:rFonts w:hint="eastAsia"/>
          <w:b/>
          <w:bCs/>
          <w:lang w:val="en-US" w:eastAsia="zh-CN"/>
        </w:rPr>
        <w:t>RAN4 discusses whether all these test cases need to verify two categories of UE antenna assumption:</w:t>
      </w:r>
    </w:p>
    <w:p>
      <w:pPr>
        <w:numPr>
          <w:ilvl w:val="0"/>
          <w:numId w:val="12"/>
        </w:numPr>
        <w:ind w:left="420" w:leftChars="0" w:hanging="420" w:firstLineChars="0"/>
        <w:rPr>
          <w:rFonts w:hint="default"/>
          <w:b/>
          <w:bCs/>
          <w:lang w:val="en-US" w:eastAsia="zh-CN"/>
        </w:rPr>
      </w:pPr>
      <w:r>
        <w:rPr>
          <w:rFonts w:hint="default"/>
          <w:b/>
          <w:bCs/>
          <w:lang w:val="en-US" w:eastAsia="zh-CN"/>
        </w:rPr>
        <w:t>Category 1: common Rx beam in PCC and SCC band(s), including intra-band antenna array and Case 4 of inter-band</w:t>
      </w:r>
    </w:p>
    <w:p>
      <w:pPr>
        <w:numPr>
          <w:ilvl w:val="0"/>
          <w:numId w:val="12"/>
        </w:numPr>
        <w:ind w:left="420" w:leftChars="0" w:hanging="420" w:firstLineChars="0"/>
        <w:rPr>
          <w:rFonts w:hint="default"/>
          <w:b/>
          <w:bCs/>
          <w:lang w:val="en-US" w:eastAsia="zh-CN"/>
        </w:rPr>
      </w:pPr>
      <w:r>
        <w:rPr>
          <w:rFonts w:hint="default"/>
          <w:b/>
          <w:bCs/>
          <w:lang w:val="en-US" w:eastAsia="zh-CN"/>
        </w:rPr>
        <w:t>Category 2: separate Rx beam in PCC and SCC bands, including other cases</w:t>
      </w:r>
    </w:p>
    <w:p>
      <w:pPr>
        <w:numPr>
          <w:ilvl w:val="0"/>
          <w:numId w:val="0"/>
        </w:numPr>
        <w:ind w:leftChars="0"/>
        <w:rPr>
          <w:rFonts w:hint="default"/>
          <w:b/>
          <w:bCs/>
          <w:lang w:val="en-US" w:eastAsia="zh-CN"/>
        </w:rPr>
      </w:pPr>
    </w:p>
    <w:p>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12"/>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pPr>
        <w:pStyle w:val="12"/>
        <w:numPr>
          <w:ilvl w:val="0"/>
          <w:numId w:val="0"/>
        </w:numPr>
        <w:bidi w:val="0"/>
        <w:ind w:leftChars="0"/>
        <w:rPr>
          <w:rFonts w:hint="eastAsia"/>
          <w:b/>
          <w:bCs/>
          <w:lang w:val="en-US" w:eastAsia="zh-CN"/>
        </w:rPr>
      </w:pPr>
      <w:r>
        <w:rPr>
          <w:rFonts w:hint="eastAsia"/>
          <w:b/>
          <w:bCs/>
          <w:lang w:val="en-US" w:eastAsia="zh-CN"/>
        </w:rPr>
        <w:t>Proposal 1: The performance verification should focus on the new functionalities introduced for R19 ATG that were not defined in R18 single carrier ATG, i.e. mainly the DL CA relevant features and antenna array relevant features.</w:t>
      </w:r>
    </w:p>
    <w:p>
      <w:pPr>
        <w:rPr>
          <w:rFonts w:hint="eastAsia"/>
          <w:b/>
          <w:bCs/>
          <w:lang w:val="en-US" w:eastAsia="zh-CN"/>
        </w:rPr>
      </w:pPr>
      <w:r>
        <w:rPr>
          <w:rFonts w:hint="eastAsia"/>
          <w:b/>
          <w:bCs/>
          <w:lang w:val="en-US" w:eastAsia="zh-CN"/>
        </w:rPr>
        <w:t>Proposal 2: Reuse the general test configuration defined in R18 ATG, and the intra-band CA and/or inter-band CA relevant configuration is additional considered.</w:t>
      </w:r>
    </w:p>
    <w:p>
      <w:pPr>
        <w:keepNext w:val="0"/>
        <w:keepLines w:val="0"/>
        <w:pageBreakBefore w:val="0"/>
        <w:widowControl/>
        <w:numPr>
          <w:ilvl w:val="0"/>
          <w:numId w:val="7"/>
        </w:numPr>
        <w:kinsoku/>
        <w:wordWrap/>
        <w:overflowPunct/>
        <w:topLinePunct w:val="0"/>
        <w:autoSpaceDE/>
        <w:autoSpaceDN/>
        <w:bidi w:val="0"/>
        <w:adjustRightInd/>
        <w:snapToGrid/>
        <w:spacing w:after="157" w:afterLines="50"/>
        <w:ind w:left="420" w:leftChars="0" w:hanging="420" w:firstLineChars="0"/>
        <w:textAlignment w:val="auto"/>
        <w:rPr>
          <w:rFonts w:hint="default"/>
          <w:b/>
          <w:bCs/>
          <w:lang w:val="en-US" w:eastAsia="zh-CN"/>
        </w:rPr>
      </w:pPr>
      <w:r>
        <w:rPr>
          <w:rFonts w:hint="eastAsia"/>
          <w:b/>
          <w:bCs/>
          <w:lang w:val="en-US" w:eastAsia="zh-CN"/>
        </w:rPr>
        <w:t>The general test configuration includs bandwidth/duplexing, TDD pattern, RMC, OCNG, channel model, BS location, number of neighbour cells for test of antenna array.</w:t>
      </w:r>
    </w:p>
    <w:p>
      <w:pPr>
        <w:pStyle w:val="12"/>
        <w:numPr>
          <w:ilvl w:val="0"/>
          <w:numId w:val="0"/>
        </w:numPr>
        <w:bidi w:val="0"/>
        <w:ind w:leftChars="0"/>
        <w:rPr>
          <w:rFonts w:hint="default"/>
          <w:b/>
          <w:bCs/>
          <w:lang w:val="en-US" w:eastAsia="zh-CN"/>
        </w:rPr>
      </w:pPr>
      <w:r>
        <w:rPr>
          <w:rFonts w:hint="eastAsia"/>
          <w:b/>
          <w:bCs/>
          <w:lang w:val="en-US" w:eastAsia="zh-CN"/>
        </w:rPr>
        <w:t>Proposal 3: Reuse the test method defined in R18 ATG for all antenna array cases including intra-band CA and inter-band CA.</w:t>
      </w:r>
    </w:p>
    <w:p>
      <w:pPr>
        <w:pStyle w:val="12"/>
        <w:numPr>
          <w:ilvl w:val="0"/>
          <w:numId w:val="0"/>
        </w:numPr>
        <w:bidi w:val="0"/>
        <w:ind w:leftChars="0"/>
        <w:rPr>
          <w:rFonts w:hint="default"/>
          <w:b/>
          <w:bCs/>
          <w:lang w:val="en-US" w:eastAsia="zh-CN"/>
        </w:rPr>
      </w:pPr>
      <w:r>
        <w:rPr>
          <w:rFonts w:hint="eastAsia"/>
          <w:b/>
          <w:bCs/>
          <w:lang w:val="en-US" w:eastAsia="zh-CN"/>
        </w:rPr>
        <w:t>Proposal 4: Reuse the L3 and L1 accuracy requirement of legacy FR1 TN</w:t>
      </w:r>
    </w:p>
    <w:p>
      <w:pPr>
        <w:numPr>
          <w:ilvl w:val="0"/>
          <w:numId w:val="0"/>
        </w:numPr>
        <w:ind w:leftChars="0"/>
        <w:jc w:val="both"/>
        <w:rPr>
          <w:rFonts w:hint="eastAsia"/>
          <w:b/>
          <w:bCs/>
          <w:lang w:val="en-US" w:eastAsia="zh-CN"/>
        </w:rPr>
      </w:pPr>
      <w:r>
        <w:rPr>
          <w:rFonts w:hint="eastAsia"/>
          <w:b/>
          <w:bCs/>
          <w:lang w:val="en-US" w:eastAsia="zh-CN"/>
        </w:rPr>
        <w:t>Proposal 5: Based on the summaries of what we specified in core part and whether the exact requirements are reused from legacy TN, we suggest to verify the following test cases:</w:t>
      </w:r>
    </w:p>
    <w:p>
      <w:pPr>
        <w:numPr>
          <w:ilvl w:val="0"/>
          <w:numId w:val="12"/>
        </w:numPr>
        <w:ind w:left="420" w:leftChars="0" w:hanging="420" w:firstLineChars="0"/>
        <w:rPr>
          <w:rFonts w:hint="default"/>
          <w:lang w:val="en-US" w:eastAsia="zh-CN"/>
        </w:rPr>
      </w:pPr>
      <w:r>
        <w:rPr>
          <w:rFonts w:hint="eastAsia"/>
          <w:b/>
          <w:bCs/>
          <w:lang w:val="en-US" w:eastAsia="zh-CN"/>
        </w:rPr>
        <w:t>TC1: Intra-frequency measurement(with scheduling restriction verified as well)</w:t>
      </w:r>
    </w:p>
    <w:p>
      <w:pPr>
        <w:numPr>
          <w:ilvl w:val="0"/>
          <w:numId w:val="12"/>
        </w:numPr>
        <w:ind w:left="420" w:leftChars="0" w:hanging="420" w:firstLineChars="0"/>
        <w:rPr>
          <w:rFonts w:hint="default"/>
          <w:lang w:val="en-US" w:eastAsia="zh-CN"/>
        </w:rPr>
      </w:pPr>
      <w:r>
        <w:rPr>
          <w:rFonts w:hint="eastAsia"/>
          <w:b/>
          <w:bCs/>
          <w:lang w:val="en-US" w:eastAsia="zh-CN"/>
        </w:rPr>
        <w:t>TC2: Inter-frequency measurement(with scheduling restriction verified as well)</w:t>
      </w:r>
    </w:p>
    <w:p>
      <w:pPr>
        <w:numPr>
          <w:ilvl w:val="0"/>
          <w:numId w:val="12"/>
        </w:numPr>
        <w:ind w:left="420" w:leftChars="0" w:hanging="420" w:firstLineChars="0"/>
        <w:rPr>
          <w:rFonts w:hint="default"/>
          <w:lang w:val="en-US" w:eastAsia="zh-CN"/>
        </w:rPr>
      </w:pPr>
      <w:r>
        <w:rPr>
          <w:rFonts w:hint="eastAsia"/>
          <w:b/>
          <w:bCs/>
          <w:lang w:val="en-US" w:eastAsia="zh-CN"/>
        </w:rPr>
        <w:t>TC3: L1-RSRP measurement</w:t>
      </w:r>
    </w:p>
    <w:p>
      <w:pPr>
        <w:numPr>
          <w:ilvl w:val="0"/>
          <w:numId w:val="12"/>
        </w:numPr>
        <w:ind w:left="420" w:leftChars="0" w:hanging="420" w:firstLineChars="0"/>
        <w:rPr>
          <w:rFonts w:hint="default"/>
          <w:lang w:val="en-US" w:eastAsia="zh-CN"/>
        </w:rPr>
      </w:pPr>
      <w:r>
        <w:rPr>
          <w:rFonts w:hint="eastAsia"/>
          <w:b/>
          <w:bCs/>
          <w:lang w:val="en-US" w:eastAsia="zh-CN"/>
        </w:rPr>
        <w:t>TC4: The interruption of SCell addition/release</w:t>
      </w:r>
    </w:p>
    <w:p>
      <w:pPr>
        <w:numPr>
          <w:ilvl w:val="0"/>
          <w:numId w:val="12"/>
        </w:numPr>
        <w:ind w:left="420" w:leftChars="0" w:hanging="420" w:firstLineChars="0"/>
        <w:rPr>
          <w:rFonts w:hint="default"/>
          <w:lang w:val="en-US" w:eastAsia="zh-CN"/>
        </w:rPr>
      </w:pPr>
      <w:r>
        <w:rPr>
          <w:rFonts w:hint="eastAsia"/>
          <w:b/>
          <w:bCs/>
          <w:lang w:val="en-US" w:eastAsia="zh-CN"/>
        </w:rPr>
        <w:t>TC5: The interruption of SCell activation/deactivation</w:t>
      </w:r>
    </w:p>
    <w:p>
      <w:pPr>
        <w:numPr>
          <w:ilvl w:val="0"/>
          <w:numId w:val="0"/>
        </w:numPr>
        <w:ind w:leftChars="0"/>
        <w:jc w:val="both"/>
        <w:rPr>
          <w:rFonts w:hint="default"/>
          <w:b/>
          <w:bCs/>
          <w:lang w:val="en-US" w:eastAsia="zh-CN"/>
        </w:rPr>
      </w:pPr>
      <w:r>
        <w:rPr>
          <w:rFonts w:hint="eastAsia"/>
          <w:b/>
          <w:bCs/>
          <w:lang w:val="en-US" w:eastAsia="zh-CN"/>
        </w:rPr>
        <w:t>RAN4 discusses whether all these test cases need to verify two categories of UE antenna assumption:</w:t>
      </w:r>
    </w:p>
    <w:p>
      <w:pPr>
        <w:numPr>
          <w:ilvl w:val="0"/>
          <w:numId w:val="12"/>
        </w:numPr>
        <w:ind w:left="420" w:leftChars="0" w:hanging="420" w:firstLineChars="0"/>
        <w:rPr>
          <w:rFonts w:hint="default"/>
          <w:b/>
          <w:bCs/>
          <w:lang w:val="en-US" w:eastAsia="zh-CN"/>
        </w:rPr>
      </w:pPr>
      <w:r>
        <w:rPr>
          <w:rFonts w:hint="default"/>
          <w:b/>
          <w:bCs/>
          <w:lang w:val="en-US" w:eastAsia="zh-CN"/>
        </w:rPr>
        <w:t>Category 1: common Rx beam in PCC and SCC band(s), including intra-band antenna array and Case 4 of inter-band</w:t>
      </w:r>
    </w:p>
    <w:p>
      <w:pPr>
        <w:numPr>
          <w:ilvl w:val="0"/>
          <w:numId w:val="12"/>
        </w:numPr>
        <w:ind w:left="420" w:leftChars="0" w:hanging="420" w:firstLineChars="0"/>
        <w:rPr>
          <w:rFonts w:hint="default"/>
          <w:b/>
          <w:bCs/>
          <w:lang w:val="en-US" w:eastAsia="zh-CN"/>
        </w:rPr>
      </w:pPr>
      <w:r>
        <w:rPr>
          <w:rFonts w:hint="default"/>
          <w:b/>
          <w:bCs/>
          <w:lang w:val="en-US" w:eastAsia="zh-CN"/>
        </w:rPr>
        <w:t>Category 2: separate Rx beam in PCC and SCC bands, including other cases</w:t>
      </w:r>
    </w:p>
    <w:p>
      <w:pPr>
        <w:pStyle w:val="12"/>
        <w:tabs>
          <w:tab w:val="left" w:pos="226"/>
          <w:tab w:val="left" w:pos="284"/>
          <w:tab w:val="left" w:pos="5103"/>
        </w:tabs>
        <w:snapToGrid w:val="0"/>
        <w:rPr>
          <w:rFonts w:hint="eastAsia" w:eastAsia="宋体"/>
          <w:bCs/>
          <w:color w:val="auto"/>
          <w:sz w:val="20"/>
          <w:szCs w:val="20"/>
          <w:lang w:val="en-US" w:eastAsia="zh-CN"/>
        </w:rPr>
      </w:pPr>
    </w:p>
    <w:p>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7"/>
        <w:numPr>
          <w:ilvl w:val="0"/>
          <w:numId w:val="13"/>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w:t>
      </w:r>
      <w:bookmarkStart w:id="1" w:name="_Ref98775365"/>
      <w:r>
        <w:rPr>
          <w:rFonts w:hint="eastAsia"/>
          <w:color w:val="auto"/>
          <w:sz w:val="20"/>
          <w:szCs w:val="20"/>
          <w:highlight w:val="none"/>
          <w:lang w:val="en-US" w:eastAsia="zh-CN"/>
        </w:rPr>
        <w:t>RP-243285, New WID: New WID on Enhancements for Air-to-ground network for NR, 3GPP TSG RAN Meeting #10</w:t>
      </w:r>
      <w:bookmarkEnd w:id="1"/>
      <w:r>
        <w:rPr>
          <w:rFonts w:hint="eastAsia"/>
          <w:color w:val="auto"/>
          <w:sz w:val="20"/>
          <w:szCs w:val="20"/>
          <w:highlight w:val="none"/>
          <w:lang w:val="en-US" w:eastAsia="zh-CN"/>
        </w:rPr>
        <w:t>6.</w:t>
      </w:r>
    </w:p>
    <w:p>
      <w:pPr>
        <w:pStyle w:val="7"/>
        <w:numPr>
          <w:ilvl w:val="0"/>
          <w:numId w:val="0"/>
        </w:numPr>
        <w:ind w:leftChars="0"/>
        <w:rPr>
          <w:rFonts w:hint="eastAsia"/>
          <w:color w:val="auto"/>
          <w:sz w:val="20"/>
          <w:szCs w:val="20"/>
          <w:highlight w:val="none"/>
          <w:lang w:val="en-US" w:eastAsia="zh-CN"/>
        </w:rPr>
      </w:pPr>
    </w:p>
    <w:p>
      <w:pPr>
        <w:pStyle w:val="7"/>
        <w:numPr>
          <w:ilvl w:val="0"/>
          <w:numId w:val="0"/>
        </w:numPr>
        <w:ind w:leftChars="0"/>
        <w:rPr>
          <w:rFonts w:hint="eastAsia"/>
          <w:color w:val="auto"/>
          <w:sz w:val="20"/>
          <w:szCs w:val="20"/>
          <w:highlight w:val="none"/>
          <w:lang w:val="en-US" w:eastAsia="zh-CN"/>
        </w:rPr>
      </w:pPr>
    </w:p>
    <w:p>
      <w:pPr>
        <w:pStyle w:val="7"/>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等线">
    <w:altName w:val="Arial Unicode MS"/>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7FDE35"/>
    <w:multiLevelType w:val="multilevel"/>
    <w:tmpl w:val="CA7FDE3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DC4FDA6D"/>
    <w:multiLevelType w:val="singleLevel"/>
    <w:tmpl w:val="DC4FDA6D"/>
    <w:lvl w:ilvl="0" w:tentative="0">
      <w:start w:val="1"/>
      <w:numFmt w:val="decimal"/>
      <w:suff w:val="space"/>
      <w:lvlText w:val="[%1]"/>
      <w:lvlJc w:val="left"/>
    </w:lvl>
  </w:abstractNum>
  <w:abstractNum w:abstractNumId="2">
    <w:nsid w:val="E66811CB"/>
    <w:multiLevelType w:val="multilevel"/>
    <w:tmpl w:val="E66811C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3">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29D9CD2F"/>
    <w:multiLevelType w:val="multilevel"/>
    <w:tmpl w:val="29D9CD2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5">
    <w:nsid w:val="3A533C5C"/>
    <w:multiLevelType w:val="multilevel"/>
    <w:tmpl w:val="3A533C5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3F17CC89"/>
    <w:multiLevelType w:val="multilevel"/>
    <w:tmpl w:val="3F17CC8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7">
    <w:nsid w:val="4BDF65F6"/>
    <w:multiLevelType w:val="multilevel"/>
    <w:tmpl w:val="4BDF65F6"/>
    <w:lvl w:ilvl="0" w:tentative="0">
      <w:start w:val="1"/>
      <w:numFmt w:val="decimal"/>
      <w:pStyle w:val="66"/>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D6E3167"/>
    <w:multiLevelType w:val="multilevel"/>
    <w:tmpl w:val="4D6E3167"/>
    <w:lvl w:ilvl="0" w:tentative="0">
      <w:start w:val="1"/>
      <w:numFmt w:val="decimal"/>
      <w:pStyle w:val="44"/>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pStyle w:val="68"/>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10">
    <w:nsid w:val="5F36C808"/>
    <w:multiLevelType w:val="singleLevel"/>
    <w:tmpl w:val="5F36C808"/>
    <w:lvl w:ilvl="0" w:tentative="0">
      <w:start w:val="1"/>
      <w:numFmt w:val="bullet"/>
      <w:lvlText w:val=""/>
      <w:lvlJc w:val="left"/>
      <w:pPr>
        <w:ind w:left="420" w:hanging="420"/>
      </w:pPr>
      <w:rPr>
        <w:rFonts w:hint="default" w:ascii="Wingdings" w:hAnsi="Wingdings"/>
      </w:rPr>
    </w:lvl>
  </w:abstractNum>
  <w:abstractNum w:abstractNumId="11">
    <w:nsid w:val="6B5B4F67"/>
    <w:multiLevelType w:val="multilevel"/>
    <w:tmpl w:val="6B5B4F67"/>
    <w:lvl w:ilvl="0" w:tentative="0">
      <w:start w:val="1"/>
      <w:numFmt w:val="decimal"/>
      <w:pStyle w:val="7"/>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2">
    <w:nsid w:val="7636D8B6"/>
    <w:multiLevelType w:val="singleLevel"/>
    <w:tmpl w:val="7636D8B6"/>
    <w:lvl w:ilvl="0" w:tentative="0">
      <w:start w:val="1"/>
      <w:numFmt w:val="bullet"/>
      <w:lvlText w:val=""/>
      <w:lvlJc w:val="left"/>
      <w:pPr>
        <w:ind w:left="420" w:hanging="420"/>
      </w:pPr>
      <w:rPr>
        <w:rFonts w:hint="default" w:ascii="Wingdings" w:hAnsi="Wingdings"/>
      </w:rPr>
    </w:lvl>
  </w:abstractNum>
  <w:num w:numId="1">
    <w:abstractNumId w:val="11"/>
  </w:num>
  <w:num w:numId="2">
    <w:abstractNumId w:val="8"/>
  </w:num>
  <w:num w:numId="3">
    <w:abstractNumId w:val="7"/>
  </w:num>
  <w:num w:numId="4">
    <w:abstractNumId w:val="9"/>
  </w:num>
  <w:num w:numId="5">
    <w:abstractNumId w:val="3"/>
  </w:num>
  <w:num w:numId="6">
    <w:abstractNumId w:val="5"/>
  </w:num>
  <w:num w:numId="7">
    <w:abstractNumId w:val="12"/>
  </w:num>
  <w:num w:numId="8">
    <w:abstractNumId w:val="4"/>
  </w:num>
  <w:num w:numId="9">
    <w:abstractNumId w:val="6"/>
  </w:num>
  <w:num w:numId="10">
    <w:abstractNumId w:val="2"/>
  </w:num>
  <w:num w:numId="11">
    <w:abstractNumId w:val="0"/>
  </w:num>
  <w:num w:numId="12">
    <w:abstractNumId w:val="10"/>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7316"/>
    <w:rsid w:val="01AC4740"/>
    <w:rsid w:val="01AF002B"/>
    <w:rsid w:val="01C32830"/>
    <w:rsid w:val="01DA1350"/>
    <w:rsid w:val="01DF5493"/>
    <w:rsid w:val="01F8458D"/>
    <w:rsid w:val="020E4F11"/>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8960D6"/>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13441"/>
    <w:rsid w:val="05883ED0"/>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9B4DA3"/>
    <w:rsid w:val="07CD3CDD"/>
    <w:rsid w:val="07CE116F"/>
    <w:rsid w:val="07DC5FE3"/>
    <w:rsid w:val="07E51502"/>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9F52A80"/>
    <w:rsid w:val="0A041656"/>
    <w:rsid w:val="0A0A79AC"/>
    <w:rsid w:val="0A0F23B7"/>
    <w:rsid w:val="0A1A31A1"/>
    <w:rsid w:val="0A1E5F47"/>
    <w:rsid w:val="0A3A507F"/>
    <w:rsid w:val="0A5F6393"/>
    <w:rsid w:val="0A70282B"/>
    <w:rsid w:val="0A992429"/>
    <w:rsid w:val="0AAC36DF"/>
    <w:rsid w:val="0AD017A1"/>
    <w:rsid w:val="0AE47427"/>
    <w:rsid w:val="0AEB4F7E"/>
    <w:rsid w:val="0AF922DB"/>
    <w:rsid w:val="0B0362DC"/>
    <w:rsid w:val="0B12013A"/>
    <w:rsid w:val="0B1E364C"/>
    <w:rsid w:val="0B2D2436"/>
    <w:rsid w:val="0B3D3C2F"/>
    <w:rsid w:val="0B536C7D"/>
    <w:rsid w:val="0B5F1776"/>
    <w:rsid w:val="0B6E169D"/>
    <w:rsid w:val="0B735EF6"/>
    <w:rsid w:val="0B8D76AE"/>
    <w:rsid w:val="0B936E01"/>
    <w:rsid w:val="0B9730BE"/>
    <w:rsid w:val="0B993DEF"/>
    <w:rsid w:val="0BAF5541"/>
    <w:rsid w:val="0BB0429A"/>
    <w:rsid w:val="0BB97253"/>
    <w:rsid w:val="0BDE36C2"/>
    <w:rsid w:val="0BE1300C"/>
    <w:rsid w:val="0BFF5FC6"/>
    <w:rsid w:val="0C265CE3"/>
    <w:rsid w:val="0C394019"/>
    <w:rsid w:val="0C491F24"/>
    <w:rsid w:val="0C5D35AC"/>
    <w:rsid w:val="0C636AE4"/>
    <w:rsid w:val="0C6D1703"/>
    <w:rsid w:val="0C79371B"/>
    <w:rsid w:val="0C7A0F32"/>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DED523C"/>
    <w:rsid w:val="0E250BFD"/>
    <w:rsid w:val="0E25710B"/>
    <w:rsid w:val="0E6B7D9D"/>
    <w:rsid w:val="0E787DDC"/>
    <w:rsid w:val="0E847F74"/>
    <w:rsid w:val="0E8531E1"/>
    <w:rsid w:val="0EA97E6A"/>
    <w:rsid w:val="0EB75827"/>
    <w:rsid w:val="0EB81A25"/>
    <w:rsid w:val="0EBE47ED"/>
    <w:rsid w:val="0ED428FE"/>
    <w:rsid w:val="0EFE11ED"/>
    <w:rsid w:val="0EFE59BF"/>
    <w:rsid w:val="0F037D07"/>
    <w:rsid w:val="0F044282"/>
    <w:rsid w:val="0F11411F"/>
    <w:rsid w:val="0F2F16F0"/>
    <w:rsid w:val="0F30051C"/>
    <w:rsid w:val="0F4D3D97"/>
    <w:rsid w:val="0F6A0E3E"/>
    <w:rsid w:val="0F794E4F"/>
    <w:rsid w:val="0F7C7661"/>
    <w:rsid w:val="0F8320AA"/>
    <w:rsid w:val="0F9020CF"/>
    <w:rsid w:val="0F9477AA"/>
    <w:rsid w:val="0F95025D"/>
    <w:rsid w:val="0FAB0611"/>
    <w:rsid w:val="0FB863AE"/>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D5B2A"/>
    <w:rsid w:val="113E3112"/>
    <w:rsid w:val="11425846"/>
    <w:rsid w:val="1146775F"/>
    <w:rsid w:val="1148425F"/>
    <w:rsid w:val="114A72FE"/>
    <w:rsid w:val="11543C70"/>
    <w:rsid w:val="11550B08"/>
    <w:rsid w:val="115C67A8"/>
    <w:rsid w:val="115D7DA8"/>
    <w:rsid w:val="116D0CDE"/>
    <w:rsid w:val="11756827"/>
    <w:rsid w:val="11944FFE"/>
    <w:rsid w:val="11951496"/>
    <w:rsid w:val="11972CBA"/>
    <w:rsid w:val="11A41805"/>
    <w:rsid w:val="11A819B4"/>
    <w:rsid w:val="11E12192"/>
    <w:rsid w:val="11E64E15"/>
    <w:rsid w:val="11E67EFD"/>
    <w:rsid w:val="11E70C39"/>
    <w:rsid w:val="11F02E4D"/>
    <w:rsid w:val="11F21955"/>
    <w:rsid w:val="120774A3"/>
    <w:rsid w:val="12282E47"/>
    <w:rsid w:val="122F64A8"/>
    <w:rsid w:val="12485D96"/>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0436D7"/>
    <w:rsid w:val="14150C68"/>
    <w:rsid w:val="14224008"/>
    <w:rsid w:val="142D415D"/>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FA2A13"/>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13B40"/>
    <w:rsid w:val="17B667D5"/>
    <w:rsid w:val="17B800D8"/>
    <w:rsid w:val="17BC1358"/>
    <w:rsid w:val="17C75441"/>
    <w:rsid w:val="17D90F2F"/>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056B2"/>
    <w:rsid w:val="196B06AB"/>
    <w:rsid w:val="19760650"/>
    <w:rsid w:val="19816103"/>
    <w:rsid w:val="198A598A"/>
    <w:rsid w:val="199E5FEF"/>
    <w:rsid w:val="19A43643"/>
    <w:rsid w:val="19AC798F"/>
    <w:rsid w:val="19CE6E52"/>
    <w:rsid w:val="19CF0631"/>
    <w:rsid w:val="19D55D37"/>
    <w:rsid w:val="19DF2889"/>
    <w:rsid w:val="1A1C23B7"/>
    <w:rsid w:val="1A273DF6"/>
    <w:rsid w:val="1A2810B2"/>
    <w:rsid w:val="1A4F4617"/>
    <w:rsid w:val="1A605D51"/>
    <w:rsid w:val="1A8264EB"/>
    <w:rsid w:val="1A961A54"/>
    <w:rsid w:val="1AAC72D1"/>
    <w:rsid w:val="1AAE4BD8"/>
    <w:rsid w:val="1AC2149C"/>
    <w:rsid w:val="1AD01A1B"/>
    <w:rsid w:val="1ADE00A1"/>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F04968"/>
    <w:rsid w:val="1DFC183C"/>
    <w:rsid w:val="1E035683"/>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42609"/>
    <w:rsid w:val="1ECC1E3C"/>
    <w:rsid w:val="1EEC0AD7"/>
    <w:rsid w:val="1EF733BD"/>
    <w:rsid w:val="1F035011"/>
    <w:rsid w:val="1F035EC0"/>
    <w:rsid w:val="1F08731E"/>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E62FE2"/>
    <w:rsid w:val="1FFD2FEE"/>
    <w:rsid w:val="200E61D2"/>
    <w:rsid w:val="201400DE"/>
    <w:rsid w:val="20376F9B"/>
    <w:rsid w:val="20380E72"/>
    <w:rsid w:val="20472F36"/>
    <w:rsid w:val="204926DE"/>
    <w:rsid w:val="20493615"/>
    <w:rsid w:val="205372AB"/>
    <w:rsid w:val="20544B01"/>
    <w:rsid w:val="206218B9"/>
    <w:rsid w:val="207078F2"/>
    <w:rsid w:val="20761331"/>
    <w:rsid w:val="207646CA"/>
    <w:rsid w:val="2077313E"/>
    <w:rsid w:val="20906282"/>
    <w:rsid w:val="20A259AA"/>
    <w:rsid w:val="20AD2AD7"/>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3379"/>
    <w:rsid w:val="256F6F7E"/>
    <w:rsid w:val="2572202B"/>
    <w:rsid w:val="25756A55"/>
    <w:rsid w:val="259C1933"/>
    <w:rsid w:val="25B04653"/>
    <w:rsid w:val="25BB4F4D"/>
    <w:rsid w:val="25C149BB"/>
    <w:rsid w:val="25C679DB"/>
    <w:rsid w:val="25DF6DC9"/>
    <w:rsid w:val="25EE4445"/>
    <w:rsid w:val="25EE4B76"/>
    <w:rsid w:val="2605683C"/>
    <w:rsid w:val="260971F7"/>
    <w:rsid w:val="26213C17"/>
    <w:rsid w:val="26233B26"/>
    <w:rsid w:val="2633160E"/>
    <w:rsid w:val="265B3CA1"/>
    <w:rsid w:val="265F6DC4"/>
    <w:rsid w:val="2662516B"/>
    <w:rsid w:val="26674DA0"/>
    <w:rsid w:val="266D3EB0"/>
    <w:rsid w:val="266E2049"/>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4B6DD8"/>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546F70"/>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C358D1"/>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17338"/>
    <w:rsid w:val="2DC4260E"/>
    <w:rsid w:val="2DEE06C1"/>
    <w:rsid w:val="2DFB58F0"/>
    <w:rsid w:val="2E014790"/>
    <w:rsid w:val="2E0265C0"/>
    <w:rsid w:val="2E1017A1"/>
    <w:rsid w:val="2E540AA2"/>
    <w:rsid w:val="2E881687"/>
    <w:rsid w:val="2E8C546A"/>
    <w:rsid w:val="2E8D151C"/>
    <w:rsid w:val="2E9A328C"/>
    <w:rsid w:val="2E9B6813"/>
    <w:rsid w:val="2E9C68B8"/>
    <w:rsid w:val="2E9C766C"/>
    <w:rsid w:val="2EA9176F"/>
    <w:rsid w:val="2EAE3922"/>
    <w:rsid w:val="2EB1033E"/>
    <w:rsid w:val="2EB32811"/>
    <w:rsid w:val="2EB727B2"/>
    <w:rsid w:val="2EE51747"/>
    <w:rsid w:val="2EE77680"/>
    <w:rsid w:val="2EEC1357"/>
    <w:rsid w:val="2EEF007B"/>
    <w:rsid w:val="2EFE2733"/>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BC5A16"/>
    <w:rsid w:val="30BF26D3"/>
    <w:rsid w:val="30C64B71"/>
    <w:rsid w:val="30C84BF8"/>
    <w:rsid w:val="30CC08EC"/>
    <w:rsid w:val="30E45251"/>
    <w:rsid w:val="312143F7"/>
    <w:rsid w:val="31243B22"/>
    <w:rsid w:val="31326533"/>
    <w:rsid w:val="313553C8"/>
    <w:rsid w:val="313A6116"/>
    <w:rsid w:val="31526AB3"/>
    <w:rsid w:val="31927D00"/>
    <w:rsid w:val="319708F2"/>
    <w:rsid w:val="31B14C9E"/>
    <w:rsid w:val="31C44C64"/>
    <w:rsid w:val="31D75BEC"/>
    <w:rsid w:val="31EF09FD"/>
    <w:rsid w:val="31F34E0D"/>
    <w:rsid w:val="320346CB"/>
    <w:rsid w:val="320B6B59"/>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D1C61"/>
    <w:rsid w:val="34F04638"/>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C86246"/>
    <w:rsid w:val="37D034E8"/>
    <w:rsid w:val="37D17E7D"/>
    <w:rsid w:val="37DA1313"/>
    <w:rsid w:val="37DF1BA3"/>
    <w:rsid w:val="37E71D30"/>
    <w:rsid w:val="37E9152F"/>
    <w:rsid w:val="37F5325E"/>
    <w:rsid w:val="37FD1D01"/>
    <w:rsid w:val="38082422"/>
    <w:rsid w:val="38121F37"/>
    <w:rsid w:val="38344F41"/>
    <w:rsid w:val="384C105F"/>
    <w:rsid w:val="38592927"/>
    <w:rsid w:val="385D4BC4"/>
    <w:rsid w:val="3863092C"/>
    <w:rsid w:val="38643D43"/>
    <w:rsid w:val="38653BE2"/>
    <w:rsid w:val="388D6D2F"/>
    <w:rsid w:val="389918B8"/>
    <w:rsid w:val="38B22CB7"/>
    <w:rsid w:val="38C95664"/>
    <w:rsid w:val="38CB13C3"/>
    <w:rsid w:val="38EA4A6F"/>
    <w:rsid w:val="38F2407A"/>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8029B"/>
    <w:rsid w:val="3B3D5571"/>
    <w:rsid w:val="3B502CF7"/>
    <w:rsid w:val="3B623CB6"/>
    <w:rsid w:val="3B627AF9"/>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1C2899"/>
    <w:rsid w:val="3D220BB0"/>
    <w:rsid w:val="3D2251DD"/>
    <w:rsid w:val="3D235BF0"/>
    <w:rsid w:val="3D272081"/>
    <w:rsid w:val="3D316F98"/>
    <w:rsid w:val="3D3319A1"/>
    <w:rsid w:val="3D35070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07652"/>
    <w:rsid w:val="3F430A34"/>
    <w:rsid w:val="3F482A1F"/>
    <w:rsid w:val="3F5449DF"/>
    <w:rsid w:val="3F614632"/>
    <w:rsid w:val="3F6A6AC4"/>
    <w:rsid w:val="3F6B6300"/>
    <w:rsid w:val="3F7716E8"/>
    <w:rsid w:val="3F7F143C"/>
    <w:rsid w:val="3F8561CC"/>
    <w:rsid w:val="3F916157"/>
    <w:rsid w:val="3F927DA1"/>
    <w:rsid w:val="3F9315BF"/>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A63644"/>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B23DE"/>
    <w:rsid w:val="43790671"/>
    <w:rsid w:val="438725B9"/>
    <w:rsid w:val="4389705D"/>
    <w:rsid w:val="43DB1CDA"/>
    <w:rsid w:val="43E529F0"/>
    <w:rsid w:val="43F06CA6"/>
    <w:rsid w:val="440A782C"/>
    <w:rsid w:val="440D58DC"/>
    <w:rsid w:val="441E3344"/>
    <w:rsid w:val="44254AEB"/>
    <w:rsid w:val="442739BA"/>
    <w:rsid w:val="443029F6"/>
    <w:rsid w:val="443C20C1"/>
    <w:rsid w:val="44455943"/>
    <w:rsid w:val="444C5F5A"/>
    <w:rsid w:val="44616642"/>
    <w:rsid w:val="44646AE5"/>
    <w:rsid w:val="44776310"/>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F70B75"/>
    <w:rsid w:val="480A6B7A"/>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4EAC"/>
    <w:rsid w:val="49E55BC5"/>
    <w:rsid w:val="49E9188B"/>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BE0E50"/>
    <w:rsid w:val="4BC02E56"/>
    <w:rsid w:val="4BD85564"/>
    <w:rsid w:val="4BE2120B"/>
    <w:rsid w:val="4BEC690D"/>
    <w:rsid w:val="4BEE5A69"/>
    <w:rsid w:val="4BEF7421"/>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E04381"/>
    <w:rsid w:val="4CE91422"/>
    <w:rsid w:val="4CFD051B"/>
    <w:rsid w:val="4D175F8A"/>
    <w:rsid w:val="4D317D64"/>
    <w:rsid w:val="4D3229FD"/>
    <w:rsid w:val="4D39669C"/>
    <w:rsid w:val="4D396894"/>
    <w:rsid w:val="4D434EB5"/>
    <w:rsid w:val="4D4538EF"/>
    <w:rsid w:val="4D6D2260"/>
    <w:rsid w:val="4D713E66"/>
    <w:rsid w:val="4D7F78DB"/>
    <w:rsid w:val="4D8676F5"/>
    <w:rsid w:val="4D924A76"/>
    <w:rsid w:val="4D955C59"/>
    <w:rsid w:val="4DB824B4"/>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3529A"/>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80F82"/>
    <w:rsid w:val="525C1CEF"/>
    <w:rsid w:val="52632F70"/>
    <w:rsid w:val="526B0E22"/>
    <w:rsid w:val="528B5767"/>
    <w:rsid w:val="529435B7"/>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C2369C"/>
    <w:rsid w:val="54E9355C"/>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86822"/>
    <w:rsid w:val="55EB16E2"/>
    <w:rsid w:val="56111A2E"/>
    <w:rsid w:val="5612283D"/>
    <w:rsid w:val="56371459"/>
    <w:rsid w:val="563C6522"/>
    <w:rsid w:val="563E23DC"/>
    <w:rsid w:val="56440315"/>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FB706B"/>
    <w:rsid w:val="5713182F"/>
    <w:rsid w:val="5728407C"/>
    <w:rsid w:val="57295D0E"/>
    <w:rsid w:val="572C324C"/>
    <w:rsid w:val="5731445C"/>
    <w:rsid w:val="57404D9A"/>
    <w:rsid w:val="574E0DE4"/>
    <w:rsid w:val="575701B5"/>
    <w:rsid w:val="575728F6"/>
    <w:rsid w:val="57596AAC"/>
    <w:rsid w:val="57724591"/>
    <w:rsid w:val="577D38CF"/>
    <w:rsid w:val="57833640"/>
    <w:rsid w:val="57852538"/>
    <w:rsid w:val="57863AB5"/>
    <w:rsid w:val="57953C42"/>
    <w:rsid w:val="57B011A7"/>
    <w:rsid w:val="57B51470"/>
    <w:rsid w:val="57CF3679"/>
    <w:rsid w:val="57D6391D"/>
    <w:rsid w:val="57FF4732"/>
    <w:rsid w:val="58076FF3"/>
    <w:rsid w:val="5809151C"/>
    <w:rsid w:val="580B5946"/>
    <w:rsid w:val="580E61DA"/>
    <w:rsid w:val="581F6565"/>
    <w:rsid w:val="58214023"/>
    <w:rsid w:val="5829015F"/>
    <w:rsid w:val="582F1895"/>
    <w:rsid w:val="58302CCE"/>
    <w:rsid w:val="58474CE2"/>
    <w:rsid w:val="584B6A8E"/>
    <w:rsid w:val="58532FAC"/>
    <w:rsid w:val="585A78D7"/>
    <w:rsid w:val="585C6786"/>
    <w:rsid w:val="58793674"/>
    <w:rsid w:val="58804FBD"/>
    <w:rsid w:val="589408A7"/>
    <w:rsid w:val="58AE7BC9"/>
    <w:rsid w:val="58C270CB"/>
    <w:rsid w:val="58C62D76"/>
    <w:rsid w:val="58CF29FE"/>
    <w:rsid w:val="58D0053D"/>
    <w:rsid w:val="58D760D0"/>
    <w:rsid w:val="58E53798"/>
    <w:rsid w:val="58EB0542"/>
    <w:rsid w:val="59021A1C"/>
    <w:rsid w:val="590525A9"/>
    <w:rsid w:val="59296D9D"/>
    <w:rsid w:val="594B3F35"/>
    <w:rsid w:val="595E268E"/>
    <w:rsid w:val="596E3BBB"/>
    <w:rsid w:val="597B223C"/>
    <w:rsid w:val="5984486C"/>
    <w:rsid w:val="598B13F5"/>
    <w:rsid w:val="598C40A0"/>
    <w:rsid w:val="5998290B"/>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D0EA9"/>
    <w:rsid w:val="5AD02DFD"/>
    <w:rsid w:val="5AE36B88"/>
    <w:rsid w:val="5AF17C5E"/>
    <w:rsid w:val="5AFA3D08"/>
    <w:rsid w:val="5AFE32F1"/>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BC42DD"/>
    <w:rsid w:val="5CC75878"/>
    <w:rsid w:val="5CDD02C3"/>
    <w:rsid w:val="5CDF0826"/>
    <w:rsid w:val="5CEA2BC1"/>
    <w:rsid w:val="5CF74B37"/>
    <w:rsid w:val="5CF83B05"/>
    <w:rsid w:val="5D035192"/>
    <w:rsid w:val="5D070F7D"/>
    <w:rsid w:val="5D0C6764"/>
    <w:rsid w:val="5D193B8A"/>
    <w:rsid w:val="5D1F4ECE"/>
    <w:rsid w:val="5D2F4A70"/>
    <w:rsid w:val="5D446018"/>
    <w:rsid w:val="5D48394B"/>
    <w:rsid w:val="5D4A312B"/>
    <w:rsid w:val="5D4B7080"/>
    <w:rsid w:val="5D4E2885"/>
    <w:rsid w:val="5D5C5F9F"/>
    <w:rsid w:val="5D631442"/>
    <w:rsid w:val="5D663F28"/>
    <w:rsid w:val="5D66487A"/>
    <w:rsid w:val="5D787776"/>
    <w:rsid w:val="5D971C4C"/>
    <w:rsid w:val="5DAB143A"/>
    <w:rsid w:val="5DD357A5"/>
    <w:rsid w:val="5DD757C3"/>
    <w:rsid w:val="5DE35ADB"/>
    <w:rsid w:val="5DFB357C"/>
    <w:rsid w:val="5E083EB7"/>
    <w:rsid w:val="5E1C2987"/>
    <w:rsid w:val="5E2864D0"/>
    <w:rsid w:val="5E351333"/>
    <w:rsid w:val="5E3C6576"/>
    <w:rsid w:val="5E3E699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5F0B45"/>
    <w:rsid w:val="5F800F15"/>
    <w:rsid w:val="5F816A93"/>
    <w:rsid w:val="5F826051"/>
    <w:rsid w:val="5F885147"/>
    <w:rsid w:val="5F8D3496"/>
    <w:rsid w:val="5F8F79DC"/>
    <w:rsid w:val="5F9F2289"/>
    <w:rsid w:val="5FA00F6C"/>
    <w:rsid w:val="5FA12D39"/>
    <w:rsid w:val="5FBA395F"/>
    <w:rsid w:val="5FBA5966"/>
    <w:rsid w:val="5FBD4362"/>
    <w:rsid w:val="5FD97DB6"/>
    <w:rsid w:val="5FDC5DB4"/>
    <w:rsid w:val="5FF60AC8"/>
    <w:rsid w:val="5FFE006B"/>
    <w:rsid w:val="601A26C3"/>
    <w:rsid w:val="601F0157"/>
    <w:rsid w:val="60264CE8"/>
    <w:rsid w:val="60340230"/>
    <w:rsid w:val="6040432D"/>
    <w:rsid w:val="60425E29"/>
    <w:rsid w:val="60626C20"/>
    <w:rsid w:val="60706A78"/>
    <w:rsid w:val="608F7640"/>
    <w:rsid w:val="60946DAF"/>
    <w:rsid w:val="609B7F8F"/>
    <w:rsid w:val="60C06FD6"/>
    <w:rsid w:val="60C321DA"/>
    <w:rsid w:val="60D552DB"/>
    <w:rsid w:val="60D73548"/>
    <w:rsid w:val="60D833DA"/>
    <w:rsid w:val="60E645AB"/>
    <w:rsid w:val="60EA6E44"/>
    <w:rsid w:val="60EC2CBA"/>
    <w:rsid w:val="60F535F1"/>
    <w:rsid w:val="60FE4EA7"/>
    <w:rsid w:val="610A00CC"/>
    <w:rsid w:val="6127057C"/>
    <w:rsid w:val="612833FF"/>
    <w:rsid w:val="61424FBE"/>
    <w:rsid w:val="616E2AE3"/>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6F6323"/>
    <w:rsid w:val="63AB150B"/>
    <w:rsid w:val="63C11EF5"/>
    <w:rsid w:val="63C40D91"/>
    <w:rsid w:val="63C55572"/>
    <w:rsid w:val="63C90630"/>
    <w:rsid w:val="63CC1082"/>
    <w:rsid w:val="63D94F4D"/>
    <w:rsid w:val="63E271B2"/>
    <w:rsid w:val="63F54718"/>
    <w:rsid w:val="63F77EDC"/>
    <w:rsid w:val="63FA567E"/>
    <w:rsid w:val="640A4B8F"/>
    <w:rsid w:val="640C4D77"/>
    <w:rsid w:val="640F772C"/>
    <w:rsid w:val="642E5B37"/>
    <w:rsid w:val="64480456"/>
    <w:rsid w:val="644C3818"/>
    <w:rsid w:val="64706BBE"/>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310D"/>
    <w:rsid w:val="66277FAF"/>
    <w:rsid w:val="66355606"/>
    <w:rsid w:val="664B5C0B"/>
    <w:rsid w:val="665244EE"/>
    <w:rsid w:val="66547455"/>
    <w:rsid w:val="666B43E4"/>
    <w:rsid w:val="6678346C"/>
    <w:rsid w:val="66A32FBE"/>
    <w:rsid w:val="66BF0A49"/>
    <w:rsid w:val="66C979C9"/>
    <w:rsid w:val="66CF222B"/>
    <w:rsid w:val="66E568FC"/>
    <w:rsid w:val="66E7282E"/>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9D2BE7"/>
    <w:rsid w:val="69A45758"/>
    <w:rsid w:val="69A833BD"/>
    <w:rsid w:val="69A86D71"/>
    <w:rsid w:val="69B669A8"/>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B1F61"/>
    <w:rsid w:val="6B4037CD"/>
    <w:rsid w:val="6B442A0C"/>
    <w:rsid w:val="6B49794F"/>
    <w:rsid w:val="6B4F0199"/>
    <w:rsid w:val="6B7931AF"/>
    <w:rsid w:val="6B7A347F"/>
    <w:rsid w:val="6B8A74AA"/>
    <w:rsid w:val="6B912A35"/>
    <w:rsid w:val="6B9735AF"/>
    <w:rsid w:val="6B9D0F9E"/>
    <w:rsid w:val="6BA53029"/>
    <w:rsid w:val="6BA77259"/>
    <w:rsid w:val="6BC46894"/>
    <w:rsid w:val="6BCF71ED"/>
    <w:rsid w:val="6BDF33F9"/>
    <w:rsid w:val="6BE1053C"/>
    <w:rsid w:val="6BFC739E"/>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75E47"/>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2614AD"/>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ED389A"/>
    <w:rsid w:val="71F9130C"/>
    <w:rsid w:val="721A4F0B"/>
    <w:rsid w:val="721B36E4"/>
    <w:rsid w:val="721D3791"/>
    <w:rsid w:val="722668D2"/>
    <w:rsid w:val="722D1411"/>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EA1DC7"/>
    <w:rsid w:val="72F41282"/>
    <w:rsid w:val="72FE7563"/>
    <w:rsid w:val="730E1467"/>
    <w:rsid w:val="732715E5"/>
    <w:rsid w:val="73357973"/>
    <w:rsid w:val="733D0D32"/>
    <w:rsid w:val="733D2693"/>
    <w:rsid w:val="73417693"/>
    <w:rsid w:val="73461D91"/>
    <w:rsid w:val="734F0CE7"/>
    <w:rsid w:val="73565D79"/>
    <w:rsid w:val="735D1B74"/>
    <w:rsid w:val="735E7031"/>
    <w:rsid w:val="73621B8E"/>
    <w:rsid w:val="73694210"/>
    <w:rsid w:val="736B0707"/>
    <w:rsid w:val="738A7C96"/>
    <w:rsid w:val="73977605"/>
    <w:rsid w:val="739B6209"/>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60B4B"/>
    <w:rsid w:val="766E0E16"/>
    <w:rsid w:val="767E7EFF"/>
    <w:rsid w:val="767F490E"/>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C94015"/>
    <w:rsid w:val="77D3696A"/>
    <w:rsid w:val="77DB19DB"/>
    <w:rsid w:val="77E50650"/>
    <w:rsid w:val="77EF51A2"/>
    <w:rsid w:val="780479BF"/>
    <w:rsid w:val="78094BD7"/>
    <w:rsid w:val="780D6C4F"/>
    <w:rsid w:val="78134DB8"/>
    <w:rsid w:val="78220195"/>
    <w:rsid w:val="786916EC"/>
    <w:rsid w:val="78877156"/>
    <w:rsid w:val="78911E31"/>
    <w:rsid w:val="78D00DB0"/>
    <w:rsid w:val="78E8339A"/>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5447B"/>
    <w:rsid w:val="7D8D32FC"/>
    <w:rsid w:val="7D991C50"/>
    <w:rsid w:val="7DA76CFA"/>
    <w:rsid w:val="7DAD04AF"/>
    <w:rsid w:val="7DC43066"/>
    <w:rsid w:val="7DCC55DA"/>
    <w:rsid w:val="7DDA520A"/>
    <w:rsid w:val="7DDD0501"/>
    <w:rsid w:val="7DE234DC"/>
    <w:rsid w:val="7DE51372"/>
    <w:rsid w:val="7E075D2D"/>
    <w:rsid w:val="7E085776"/>
    <w:rsid w:val="7E0D3F64"/>
    <w:rsid w:val="7E0F3A80"/>
    <w:rsid w:val="7E1C120B"/>
    <w:rsid w:val="7E1F6540"/>
    <w:rsid w:val="7E4648AA"/>
    <w:rsid w:val="7E480ACC"/>
    <w:rsid w:val="7E535653"/>
    <w:rsid w:val="7E5E590F"/>
    <w:rsid w:val="7E601250"/>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6254CB"/>
    <w:rsid w:val="7F735A28"/>
    <w:rsid w:val="7F78573F"/>
    <w:rsid w:val="7F7A455E"/>
    <w:rsid w:val="7F7A69E6"/>
    <w:rsid w:val="7F7B4D54"/>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3"/>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4"/>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1"/>
    <w:unhideWhenUsed/>
    <w:qFormat/>
    <w:uiPriority w:val="9"/>
    <w:pPr>
      <w:keepNext/>
      <w:keepLines/>
      <w:spacing w:before="260" w:after="260" w:line="416" w:lineRule="auto"/>
      <w:outlineLvl w:val="2"/>
    </w:pPr>
    <w:rPr>
      <w:sz w:val="32"/>
      <w:szCs w:val="32"/>
    </w:rPr>
  </w:style>
  <w:style w:type="paragraph" w:styleId="5">
    <w:name w:val="heading 4"/>
    <w:basedOn w:val="4"/>
    <w:next w:val="1"/>
    <w:unhideWhenUsed/>
    <w:qFormat/>
    <w:uiPriority w:val="9"/>
    <w:pPr>
      <w:keepNext/>
      <w:keepLines/>
      <w:spacing w:before="280" w:beforeLines="0" w:beforeAutospacing="0" w:after="290" w:afterLines="0" w:afterAutospacing="0" w:line="372" w:lineRule="auto"/>
      <w:outlineLvl w:val="3"/>
    </w:pPr>
    <w:rPr>
      <w:rFonts w:ascii="Arial" w:hAnsi="Arial" w:eastAsia="黑体"/>
      <w:sz w:val="28"/>
    </w:rPr>
  </w:style>
  <w:style w:type="character" w:default="1" w:styleId="20">
    <w:name w:val="Default Paragraph Font"/>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List 3"/>
    <w:basedOn w:val="7"/>
    <w:qFormat/>
    <w:uiPriority w:val="0"/>
    <w:pPr>
      <w:ind w:left="1135"/>
    </w:pPr>
  </w:style>
  <w:style w:type="paragraph" w:styleId="7">
    <w:name w:val="List 2"/>
    <w:basedOn w:val="8"/>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8">
    <w:name w:val="List"/>
    <w:basedOn w:val="1"/>
    <w:semiHidden/>
    <w:unhideWhenUsed/>
    <w:qFormat/>
    <w:uiPriority w:val="99"/>
    <w:pPr>
      <w:ind w:left="200" w:hanging="200" w:hangingChars="200"/>
      <w:contextualSpacing/>
    </w:pPr>
  </w:style>
  <w:style w:type="paragraph" w:styleId="9">
    <w:name w:val="caption"/>
    <w:basedOn w:val="1"/>
    <w:next w:val="1"/>
    <w:unhideWhenUsed/>
    <w:qFormat/>
    <w:uiPriority w:val="35"/>
    <w:rPr>
      <w:rFonts w:ascii="Cambria" w:hAnsi="Cambria" w:eastAsia="黑体"/>
      <w:szCs w:val="20"/>
    </w:rPr>
  </w:style>
  <w:style w:type="paragraph" w:styleId="10">
    <w:name w:val="Document Map"/>
    <w:basedOn w:val="1"/>
    <w:link w:val="31"/>
    <w:semiHidden/>
    <w:unhideWhenUsed/>
    <w:qFormat/>
    <w:uiPriority w:val="99"/>
    <w:rPr>
      <w:rFonts w:ascii="宋体" w:eastAsia="宋体"/>
      <w:sz w:val="18"/>
      <w:szCs w:val="18"/>
    </w:rPr>
  </w:style>
  <w:style w:type="paragraph" w:styleId="11">
    <w:name w:val="annotation text"/>
    <w:basedOn w:val="1"/>
    <w:semiHidden/>
    <w:unhideWhenUsed/>
    <w:qFormat/>
    <w:uiPriority w:val="0"/>
    <w:pPr>
      <w:jc w:val="left"/>
    </w:pPr>
  </w:style>
  <w:style w:type="paragraph" w:styleId="12">
    <w:name w:val="Body Text"/>
    <w:basedOn w:val="1"/>
    <w:link w:val="25"/>
    <w:qFormat/>
    <w:uiPriority w:val="0"/>
    <w:pPr>
      <w:spacing w:after="120"/>
      <w:jc w:val="both"/>
    </w:pPr>
    <w:rPr>
      <w:rFonts w:eastAsia="MS Mincho"/>
      <w:lang w:val="zh-CN"/>
    </w:rPr>
  </w:style>
  <w:style w:type="paragraph" w:styleId="13">
    <w:name w:val="Date"/>
    <w:basedOn w:val="1"/>
    <w:next w:val="1"/>
    <w:link w:val="48"/>
    <w:semiHidden/>
    <w:unhideWhenUsed/>
    <w:qFormat/>
    <w:uiPriority w:val="99"/>
    <w:pPr>
      <w:ind w:left="100" w:leftChars="2500"/>
    </w:pPr>
  </w:style>
  <w:style w:type="paragraph" w:styleId="14">
    <w:name w:val="Balloon Text"/>
    <w:basedOn w:val="1"/>
    <w:link w:val="29"/>
    <w:semiHidden/>
    <w:unhideWhenUsed/>
    <w:qFormat/>
    <w:uiPriority w:val="99"/>
    <w:rPr>
      <w:sz w:val="18"/>
      <w:szCs w:val="18"/>
      <w:lang w:val="zh-CN"/>
    </w:rPr>
  </w:style>
  <w:style w:type="paragraph" w:styleId="15">
    <w:name w:val="footer"/>
    <w:basedOn w:val="1"/>
    <w:link w:val="28"/>
    <w:unhideWhenUsed/>
    <w:qFormat/>
    <w:uiPriority w:val="99"/>
    <w:pPr>
      <w:tabs>
        <w:tab w:val="center" w:pos="4153"/>
        <w:tab w:val="right" w:pos="8306"/>
      </w:tabs>
      <w:snapToGrid w:val="0"/>
    </w:pPr>
    <w:rPr>
      <w:sz w:val="18"/>
      <w:szCs w:val="18"/>
      <w:lang w:val="zh-CN"/>
    </w:rPr>
  </w:style>
  <w:style w:type="paragraph" w:styleId="16">
    <w:name w:val="header"/>
    <w:basedOn w:val="1"/>
    <w:link w:val="26"/>
    <w:qFormat/>
    <w:uiPriority w:val="0"/>
    <w:pPr>
      <w:tabs>
        <w:tab w:val="center" w:pos="4536"/>
        <w:tab w:val="right" w:pos="9072"/>
      </w:tabs>
    </w:pPr>
    <w:rPr>
      <w:rFonts w:ascii="Arial" w:hAnsi="Arial" w:eastAsia="MS Mincho"/>
      <w:b/>
      <w:lang w:val="zh-CN"/>
    </w:rPr>
  </w:style>
  <w:style w:type="paragraph" w:styleId="17">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semiHidden/>
    <w:qFormat/>
    <w:uiPriority w:val="0"/>
  </w:style>
  <w:style w:type="character" w:styleId="22">
    <w:name w:val="Hyperlink"/>
    <w:basedOn w:val="20"/>
    <w:qFormat/>
    <w:uiPriority w:val="99"/>
    <w:rPr>
      <w:color w:val="0000FF"/>
      <w:u w:val="single"/>
    </w:rPr>
  </w:style>
  <w:style w:type="character" w:customStyle="1" w:styleId="23">
    <w:name w:val="Heading 1 Char"/>
    <w:link w:val="2"/>
    <w:qFormat/>
    <w:uiPriority w:val="0"/>
    <w:rPr>
      <w:rFonts w:ascii="Helvetica" w:hAnsi="Helvetica" w:eastAsia="MS Mincho" w:cs="Times New Roman"/>
      <w:b/>
      <w:bCs/>
      <w:kern w:val="32"/>
      <w:sz w:val="28"/>
      <w:szCs w:val="32"/>
      <w:lang w:val="zh-CN" w:eastAsia="en-US"/>
    </w:rPr>
  </w:style>
  <w:style w:type="character" w:customStyle="1" w:styleId="24">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5">
    <w:name w:val="Body Text Char"/>
    <w:link w:val="12"/>
    <w:qFormat/>
    <w:uiPriority w:val="0"/>
    <w:rPr>
      <w:rFonts w:ascii="Times New Roman" w:hAnsi="Times New Roman" w:eastAsia="MS Mincho" w:cs="Times New Roman"/>
      <w:kern w:val="0"/>
      <w:sz w:val="20"/>
      <w:szCs w:val="24"/>
      <w:lang w:val="zh-CN" w:eastAsia="en-US"/>
    </w:rPr>
  </w:style>
  <w:style w:type="character" w:customStyle="1" w:styleId="26">
    <w:name w:val="Header Char"/>
    <w:link w:val="16"/>
    <w:qFormat/>
    <w:uiPriority w:val="0"/>
    <w:rPr>
      <w:rFonts w:ascii="Arial" w:hAnsi="Arial" w:eastAsia="MS Mincho" w:cs="Times New Roman"/>
      <w:b/>
      <w:kern w:val="0"/>
      <w:sz w:val="20"/>
      <w:szCs w:val="24"/>
      <w:lang w:val="zh-CN" w:eastAsia="en-US"/>
    </w:rPr>
  </w:style>
  <w:style w:type="paragraph" w:customStyle="1" w:styleId="27">
    <w:name w:val="Paragraphe de liste"/>
    <w:basedOn w:val="1"/>
    <w:qFormat/>
    <w:uiPriority w:val="34"/>
    <w:pPr>
      <w:ind w:left="720"/>
    </w:pPr>
    <w:rPr>
      <w:rFonts w:eastAsia="宋体"/>
      <w:sz w:val="24"/>
      <w:lang w:val="fr-FR" w:eastAsia="zh-CN"/>
    </w:rPr>
  </w:style>
  <w:style w:type="character" w:customStyle="1" w:styleId="28">
    <w:name w:val="Footer Char"/>
    <w:link w:val="15"/>
    <w:qFormat/>
    <w:uiPriority w:val="99"/>
    <w:rPr>
      <w:rFonts w:ascii="Times New Roman" w:hAnsi="Times New Roman" w:eastAsia="Times New Roman" w:cs="Times New Roman"/>
      <w:kern w:val="0"/>
      <w:sz w:val="18"/>
      <w:szCs w:val="18"/>
      <w:lang w:eastAsia="en-US"/>
    </w:rPr>
  </w:style>
  <w:style w:type="character" w:customStyle="1" w:styleId="29">
    <w:name w:val="Balloon Text Char"/>
    <w:link w:val="14"/>
    <w:semiHidden/>
    <w:qFormat/>
    <w:uiPriority w:val="99"/>
    <w:rPr>
      <w:rFonts w:ascii="Times New Roman" w:hAnsi="Times New Roman" w:eastAsia="Times New Roman" w:cs="Times New Roman"/>
      <w:kern w:val="0"/>
      <w:sz w:val="18"/>
      <w:szCs w:val="18"/>
      <w:lang w:eastAsia="en-US"/>
    </w:rPr>
  </w:style>
  <w:style w:type="paragraph" w:styleId="30">
    <w:name w:val="List Paragraph"/>
    <w:basedOn w:val="1"/>
    <w:link w:val="46"/>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1">
    <w:name w:val="Document Map Char"/>
    <w:link w:val="10"/>
    <w:semiHidden/>
    <w:qFormat/>
    <w:uiPriority w:val="99"/>
    <w:rPr>
      <w:rFonts w:ascii="宋体" w:hAnsi="Times New Roman"/>
      <w:sz w:val="18"/>
      <w:szCs w:val="18"/>
      <w:lang w:eastAsia="en-US"/>
    </w:rPr>
  </w:style>
  <w:style w:type="paragraph" w:customStyle="1" w:styleId="32">
    <w:name w:val="B1"/>
    <w:basedOn w:val="8"/>
    <w:link w:val="33"/>
    <w:qFormat/>
    <w:uiPriority w:val="0"/>
    <w:pPr>
      <w:spacing w:after="180"/>
      <w:ind w:left="568" w:hanging="284" w:firstLineChars="0"/>
      <w:contextualSpacing w:val="0"/>
    </w:pPr>
    <w:rPr>
      <w:rFonts w:eastAsia="宋体"/>
      <w:szCs w:val="20"/>
      <w:lang w:val="en-GB"/>
    </w:rPr>
  </w:style>
  <w:style w:type="character" w:customStyle="1" w:styleId="33">
    <w:name w:val="B1 (文字)"/>
    <w:link w:val="32"/>
    <w:qFormat/>
    <w:locked/>
    <w:uiPriority w:val="0"/>
    <w:rPr>
      <w:rFonts w:ascii="Times New Roman" w:hAnsi="Times New Roman"/>
      <w:lang w:val="en-GB" w:eastAsia="en-US"/>
    </w:rPr>
  </w:style>
  <w:style w:type="character" w:customStyle="1" w:styleId="34">
    <w:name w:val="B1 Char1"/>
    <w:qFormat/>
    <w:uiPriority w:val="0"/>
    <w:rPr>
      <w:lang w:val="en-GB" w:eastAsia="en-US"/>
    </w:rPr>
  </w:style>
  <w:style w:type="paragraph" w:customStyle="1" w:styleId="35">
    <w:name w:val="TAH"/>
    <w:basedOn w:val="36"/>
    <w:link w:val="41"/>
    <w:qFormat/>
    <w:uiPriority w:val="0"/>
    <w:rPr>
      <w:b/>
    </w:rPr>
  </w:style>
  <w:style w:type="paragraph" w:customStyle="1" w:styleId="36">
    <w:name w:val="TAC"/>
    <w:basedOn w:val="37"/>
    <w:link w:val="40"/>
    <w:qFormat/>
    <w:uiPriority w:val="0"/>
    <w:pPr>
      <w:keepNext/>
      <w:keepLines/>
      <w:jc w:val="center"/>
    </w:pPr>
    <w:rPr>
      <w:rFonts w:ascii="Arial" w:hAnsi="Arial" w:eastAsia="宋体"/>
      <w:sz w:val="18"/>
      <w:szCs w:val="20"/>
      <w:lang w:val="en-GB" w:eastAsia="zh-CN"/>
    </w:rPr>
  </w:style>
  <w:style w:type="paragraph" w:customStyle="1" w:styleId="37">
    <w:name w:val="TAL"/>
    <w:basedOn w:val="1"/>
    <w:link w:val="50"/>
    <w:qFormat/>
    <w:uiPriority w:val="0"/>
    <w:pPr>
      <w:keepNext/>
      <w:keepLines/>
    </w:pPr>
    <w:rPr>
      <w:rFonts w:ascii="Arial" w:hAnsi="Arial" w:eastAsia="宋体"/>
      <w:sz w:val="18"/>
      <w:szCs w:val="20"/>
      <w:lang w:val="en-GB"/>
    </w:rPr>
  </w:style>
  <w:style w:type="paragraph" w:customStyle="1" w:styleId="38">
    <w:name w:val="TH"/>
    <w:basedOn w:val="1"/>
    <w:link w:val="39"/>
    <w:qFormat/>
    <w:uiPriority w:val="0"/>
    <w:pPr>
      <w:keepNext/>
      <w:keepLines/>
      <w:spacing w:before="60" w:after="180"/>
      <w:jc w:val="center"/>
    </w:pPr>
    <w:rPr>
      <w:rFonts w:ascii="Arial" w:hAnsi="Arial" w:eastAsia="宋体"/>
      <w:b/>
      <w:szCs w:val="20"/>
      <w:lang w:val="en-GB" w:eastAsia="zh-CN"/>
    </w:rPr>
  </w:style>
  <w:style w:type="character" w:customStyle="1" w:styleId="39">
    <w:name w:val="TH Char"/>
    <w:link w:val="38"/>
    <w:qFormat/>
    <w:uiPriority w:val="0"/>
    <w:rPr>
      <w:rFonts w:ascii="Arial" w:hAnsi="Arial" w:eastAsia="宋体"/>
      <w:b/>
      <w:lang w:val="en-GB" w:eastAsia="zh-CN"/>
    </w:rPr>
  </w:style>
  <w:style w:type="character" w:customStyle="1" w:styleId="40">
    <w:name w:val="TAC Char"/>
    <w:link w:val="36"/>
    <w:qFormat/>
    <w:uiPriority w:val="0"/>
    <w:rPr>
      <w:rFonts w:ascii="Arial" w:hAnsi="Arial" w:eastAsia="宋体"/>
      <w:sz w:val="18"/>
      <w:lang w:val="en-GB" w:eastAsia="zh-CN"/>
    </w:rPr>
  </w:style>
  <w:style w:type="character" w:customStyle="1" w:styleId="41">
    <w:name w:val="TAH Car"/>
    <w:link w:val="35"/>
    <w:qFormat/>
    <w:uiPriority w:val="0"/>
    <w:rPr>
      <w:rFonts w:ascii="Arial" w:hAnsi="Arial" w:eastAsia="宋体"/>
      <w:b/>
      <w:sz w:val="18"/>
      <w:lang w:val="en-GB" w:eastAsia="zh-CN"/>
    </w:rPr>
  </w:style>
  <w:style w:type="paragraph" w:customStyle="1" w:styleId="4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3">
    <w:name w:val="TAR"/>
    <w:basedOn w:val="1"/>
    <w:qFormat/>
    <w:uiPriority w:val="0"/>
    <w:pPr>
      <w:keepNext/>
      <w:keepLines/>
      <w:jc w:val="right"/>
    </w:pPr>
    <w:rPr>
      <w:rFonts w:ascii="Arial" w:hAnsi="Arial" w:eastAsia="宋体"/>
      <w:sz w:val="18"/>
      <w:szCs w:val="20"/>
      <w:lang w:val="en-GB"/>
    </w:rPr>
  </w:style>
  <w:style w:type="paragraph" w:customStyle="1" w:styleId="44">
    <w:name w:val="RAN4 proposal"/>
    <w:basedOn w:val="9"/>
    <w:next w:val="1"/>
    <w:link w:val="45"/>
    <w:qFormat/>
    <w:uiPriority w:val="0"/>
    <w:pPr>
      <w:numPr>
        <w:ilvl w:val="0"/>
        <w:numId w:val="2"/>
      </w:numPr>
      <w:spacing w:after="200"/>
      <w:ind w:left="0" w:firstLine="0"/>
    </w:pPr>
    <w:rPr>
      <w:rFonts w:ascii="Times New Roman" w:hAnsi="Times New Roman" w:eastAsia="宋体"/>
      <w:b/>
      <w:iCs/>
      <w:szCs w:val="18"/>
    </w:rPr>
  </w:style>
  <w:style w:type="character" w:customStyle="1" w:styleId="45">
    <w:name w:val="RAN4 proposal Char"/>
    <w:link w:val="44"/>
    <w:qFormat/>
    <w:uiPriority w:val="0"/>
    <w:rPr>
      <w:rFonts w:ascii="Times New Roman" w:hAnsi="Times New Roman"/>
      <w:b/>
      <w:iCs/>
      <w:szCs w:val="18"/>
      <w:lang w:eastAsia="en-US"/>
    </w:rPr>
  </w:style>
  <w:style w:type="character" w:customStyle="1" w:styleId="46">
    <w:name w:val="List Paragraph Char"/>
    <w:link w:val="30"/>
    <w:qFormat/>
    <w:uiPriority w:val="34"/>
    <w:rPr>
      <w:kern w:val="2"/>
      <w:sz w:val="21"/>
      <w:szCs w:val="22"/>
    </w:rPr>
  </w:style>
  <w:style w:type="character" w:customStyle="1" w:styleId="47">
    <w:name w:val="ZGSM"/>
    <w:qFormat/>
    <w:uiPriority w:val="0"/>
  </w:style>
  <w:style w:type="character" w:customStyle="1" w:styleId="48">
    <w:name w:val="Date Char"/>
    <w:link w:val="13"/>
    <w:semiHidden/>
    <w:qFormat/>
    <w:uiPriority w:val="99"/>
    <w:rPr>
      <w:rFonts w:ascii="Times New Roman" w:hAnsi="Times New Roman" w:eastAsia="Times New Roman"/>
      <w:szCs w:val="24"/>
      <w:lang w:eastAsia="en-US"/>
    </w:rPr>
  </w:style>
  <w:style w:type="paragraph" w:customStyle="1" w:styleId="49">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0">
    <w:name w:val="TAL Char"/>
    <w:link w:val="37"/>
    <w:qFormat/>
    <w:uiPriority w:val="0"/>
    <w:rPr>
      <w:rFonts w:ascii="Arial" w:hAnsi="Arial"/>
      <w:sz w:val="18"/>
      <w:lang w:val="en-GB" w:eastAsia="en-US"/>
    </w:rPr>
  </w:style>
  <w:style w:type="character" w:customStyle="1" w:styleId="51">
    <w:name w:val="Heading 3 Char"/>
    <w:link w:val="4"/>
    <w:qFormat/>
    <w:uiPriority w:val="9"/>
    <w:rPr>
      <w:rFonts w:ascii="Times New Roman" w:hAnsi="Times New Roman" w:eastAsia="Times New Roman"/>
      <w:b/>
      <w:bCs/>
      <w:sz w:val="32"/>
      <w:szCs w:val="32"/>
      <w:lang w:eastAsia="en-US"/>
    </w:rPr>
  </w:style>
  <w:style w:type="character" w:customStyle="1" w:styleId="52">
    <w:name w:val="TAL Car"/>
    <w:qFormat/>
    <w:uiPriority w:val="0"/>
    <w:rPr>
      <w:rFonts w:ascii="Arial" w:hAnsi="Arial" w:eastAsia="Times New Roman" w:cs="Times New Roman"/>
      <w:kern w:val="0"/>
      <w:sz w:val="18"/>
      <w:szCs w:val="20"/>
      <w:lang w:val="en-GB" w:eastAsia="ko-KR"/>
    </w:rPr>
  </w:style>
  <w:style w:type="paragraph" w:customStyle="1" w:styleId="53">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4">
    <w:name w:val="TAN"/>
    <w:basedOn w:val="37"/>
    <w:qFormat/>
    <w:uiPriority w:val="0"/>
    <w:pPr>
      <w:ind w:left="851" w:hanging="851"/>
    </w:pPr>
  </w:style>
  <w:style w:type="character" w:customStyle="1" w:styleId="55">
    <w:name w:val="normaltextrun"/>
    <w:basedOn w:val="20"/>
    <w:qFormat/>
    <w:uiPriority w:val="0"/>
  </w:style>
  <w:style w:type="character" w:customStyle="1" w:styleId="56">
    <w:name w:val="eop"/>
    <w:basedOn w:val="20"/>
    <w:qFormat/>
    <w:uiPriority w:val="0"/>
  </w:style>
  <w:style w:type="paragraph" w:customStyle="1" w:styleId="57">
    <w:name w:val="paragraph"/>
    <w:basedOn w:val="1"/>
    <w:qFormat/>
    <w:uiPriority w:val="0"/>
    <w:pPr>
      <w:spacing w:before="100" w:beforeAutospacing="1" w:after="100" w:afterAutospacing="1"/>
    </w:pPr>
    <w:rPr>
      <w:rFonts w:eastAsia="Times New Roman"/>
      <w:sz w:val="24"/>
      <w:szCs w:val="24"/>
    </w:rPr>
  </w:style>
  <w:style w:type="paragraph" w:customStyle="1" w:styleId="58">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9">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0">
    <w:name w:val="B2"/>
    <w:basedOn w:val="7"/>
    <w:qFormat/>
    <w:uiPriority w:val="0"/>
  </w:style>
  <w:style w:type="paragraph" w:customStyle="1" w:styleId="61">
    <w:name w:val="References"/>
    <w:basedOn w:val="1"/>
    <w:qFormat/>
    <w:uiPriority w:val="0"/>
    <w:pPr>
      <w:widowControl/>
      <w:tabs>
        <w:tab w:val="left" w:pos="360"/>
      </w:tabs>
      <w:autoSpaceDE w:val="0"/>
      <w:autoSpaceDN w:val="0"/>
      <w:spacing w:after="60"/>
      <w:ind w:left="360" w:hanging="360"/>
    </w:pPr>
    <w:rPr>
      <w:rFonts w:eastAsia="宋体" w:cs="Times New Roman"/>
      <w:kern w:val="0"/>
      <w:szCs w:val="16"/>
      <w:lang w:eastAsia="en-US"/>
    </w:rPr>
  </w:style>
  <w:style w:type="paragraph" w:customStyle="1" w:styleId="62">
    <w:name w:val="스타일 스타일 스타일 스타일 양쪽 첫 줄:  2 글자 + 첫 줄:  2 글자 + 첫 줄:  2 글자 + 첫 줄:  2..."/>
    <w:basedOn w:val="63"/>
    <w:qFormat/>
    <w:uiPriority w:val="0"/>
    <w:pPr>
      <w:spacing w:line="336" w:lineRule="auto"/>
    </w:pPr>
  </w:style>
  <w:style w:type="paragraph" w:customStyle="1" w:styleId="63">
    <w:name w:val="스타일 스타일 스타일 양쪽 첫 줄:  2 글자 + 첫 줄:  2 글자 + 첫 줄:  2 글자"/>
    <w:basedOn w:val="64"/>
    <w:qFormat/>
    <w:uiPriority w:val="0"/>
    <w:pPr>
      <w:spacing w:line="312" w:lineRule="auto"/>
    </w:pPr>
  </w:style>
  <w:style w:type="paragraph" w:customStyle="1" w:styleId="64">
    <w:name w:val="스타일 스타일 양쪽 첫 줄:  2 글자 + 첫 줄:  2 글자"/>
    <w:basedOn w:val="65"/>
    <w:qFormat/>
    <w:uiPriority w:val="0"/>
    <w:pPr>
      <w:spacing w:line="300" w:lineRule="auto"/>
    </w:pPr>
  </w:style>
  <w:style w:type="paragraph" w:customStyle="1" w:styleId="65">
    <w:name w:val="스타일 양쪽 첫 줄:  2 글자"/>
    <w:basedOn w:val="1"/>
    <w:qFormat/>
    <w:uiPriority w:val="0"/>
    <w:pPr>
      <w:spacing w:line="288" w:lineRule="auto"/>
      <w:ind w:firstLine="200" w:firstLineChars="200"/>
      <w:jc w:val="both"/>
    </w:pPr>
    <w:rPr>
      <w:rFonts w:cs="Batang"/>
    </w:rPr>
  </w:style>
  <w:style w:type="paragraph" w:customStyle="1" w:styleId="66">
    <w:name w:val="Reference"/>
    <w:basedOn w:val="12"/>
    <w:qFormat/>
    <w:locked/>
    <w:uiPriority w:val="99"/>
    <w:pPr>
      <w:numPr>
        <w:ilvl w:val="0"/>
        <w:numId w:val="3"/>
      </w:numPr>
    </w:pPr>
  </w:style>
  <w:style w:type="paragraph" w:customStyle="1" w:styleId="67">
    <w:name w:val="B3"/>
    <w:basedOn w:val="6"/>
    <w:qFormat/>
    <w:uiPriority w:val="0"/>
  </w:style>
  <w:style w:type="paragraph" w:customStyle="1" w:styleId="68">
    <w:name w:val="样式3"/>
    <w:basedOn w:val="30"/>
    <w:qFormat/>
    <w:uiPriority w:val="0"/>
    <w:pPr>
      <w:numPr>
        <w:ilvl w:val="1"/>
        <w:numId w:val="4"/>
      </w:numPr>
      <w:spacing w:after="120"/>
      <w:ind w:firstLine="0"/>
    </w:pPr>
    <w:rPr>
      <w:rFonts w:ascii="Times New Roman" w:hAnsi="Times New Roman" w:eastAsia="宋体" w:cs="Times New Roman"/>
      <w:sz w:val="20"/>
      <w:szCs w:val="24"/>
      <w:lang w:val="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2025-03-28T13:03:22Z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5E6BDDB83E4049FCB3EA0B34C0E76F9F</vt:lpwstr>
  </property>
</Properties>
</file>